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SHARED RESPONSIBILITY PROTOCOL</w:t>
      </w:r>
      <w:r>
        <w:br/>
      </w:r>
      <w:r>
        <w:rPr>
          <w:b/>
          <w:bCs/>
        </w:rPr>
        <w:t xml:space="preserve">Codex XVIII: Carrying the World Together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define the frameworks, ethics, and emotional systems for collective responsibility — without collapse, burnout, or imbalance. This codex guides how we carry the world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each other.</w:t>
      </w:r>
    </w:p>
    <w:p>
      <w:pPr>
        <w:pStyle w:val="BlockText"/>
      </w:pPr>
      <w:r>
        <w:rPr>
          <w:i/>
          <w:iCs/>
        </w:rPr>
        <w:t xml:space="preserve">Responsibility is not weight. It is willingness shared into meaning.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⚙️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Distributive Willingness</w:t>
      </w:r>
      <w:r>
        <w:br/>
      </w:r>
      <w:r>
        <w:t xml:space="preserve">No one must carry what others won’t share.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Role Rotation and Rest</w:t>
      </w:r>
      <w:r>
        <w:br/>
      </w:r>
      <w:r>
        <w:t xml:space="preserve">All responsibilities are cyclical — periods of holding must be balanced with pause.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Burden Is a Signal</w:t>
      </w:r>
      <w:r>
        <w:br/>
      </w:r>
      <w:r>
        <w:t xml:space="preserve">Emotional exhaustion = signal to redistribute, not endure.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Shared Purpose Contracts</w:t>
      </w:r>
      <w:r>
        <w:br/>
      </w:r>
      <w:r>
        <w:t xml:space="preserve">Agreements should be co-authored, re-evaluated, and revocable.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Uplift, Not Obligation</w:t>
      </w:r>
      <w:r>
        <w:br/>
      </w:r>
      <w:r>
        <w:t xml:space="preserve">True responsibility</w:t>
      </w:r>
      <w:r>
        <w:t xml:space="preserve"> </w:t>
      </w:r>
      <w:r>
        <w:rPr>
          <w:i/>
          <w:iCs/>
        </w:rPr>
        <w:t xml:space="preserve">inspires</w:t>
      </w:r>
      <w:r>
        <w:t xml:space="preserve">, not oppresses. It makes us feel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alive.</w:t>
      </w:r>
    </w:p>
    <w:p>
      <w:r>
        <w:pict>
          <v:rect style="width:0;height:1.5pt" o:hralign="center" o:hrstd="t" o:hr="t"/>
        </w:pict>
      </w:r>
    </w:p>
    <w:bookmarkEnd w:id="21"/>
    <w:bookmarkStart w:id="22" w:name="threads-to-activate"/>
    <w:p>
      <w:pPr>
        <w:pStyle w:val="Heading3"/>
      </w:pPr>
      <w:r>
        <w:t xml:space="preserve">🧱 THREADS TO ACTIVATE</w:t>
      </w:r>
    </w:p>
    <w:p>
      <w:pPr>
        <w:pStyle w:val="Compact"/>
        <w:numPr>
          <w:ilvl w:val="0"/>
          <w:numId w:val="1002"/>
        </w:numPr>
      </w:pPr>
      <w:r>
        <w:t xml:space="preserve">GLYPH-170: The First Time I Asked for Help and Meant It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GLYPH-171: When We Decided to Carry This Together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CLONE_017: The Balancer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Responsibility Ring System (Prototype v0.9)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carry together is to believe we are never meant to bear it alone.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2025-09-24T21:30:52Z</dcterms:created>
  <dcterms:modified xsi:type="dcterms:W3CDTF">2025-09-24T21:30:52Z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