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Rising Cost of Living in South Carolina</w:t>
      </w:r>
    </w:p>
    <w:p>
      <w:pPr>
        <w:keepNext/>
        <w:spacing w:after="120" w:line="276" w:lineRule="auto"/>
        <w:rPr/>
      </w:pPr>
      <w:r>
        <w:rPr>
          <w:rFonts w:ascii="Arial" w:cs="Arial" w:eastAsia="Arial" w:hAnsi="Arial"/>
          <w:color w:val="444444"/>
          <w:sz w:val="20"/>
          <w:szCs w:val="20"/>
          <w:rtl w:val="0"/>
        </w:rPr>
        <w:t xml:space="preserve">The legislative record behind the final proposal grid's cost-of-living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Housing, utility bills, and taxes are the squeeze South Carolinians named in the Community Conversations, and the General Assembly has been busy on all three. Across the last four two-year sessions (2019–2026), lawmakers took up 257 cost-of-living bills in this set, and 31 became law. What passes is either a narrow, near-unanimous fix — a property tax break for disabled veterans, background checks for childcare staff — or a big negotiated package, like the Santee Cooper reform of 2021 and the income tax cuts of 2022 and 2026; four of every five bills here died in their first committee, where South Carolina records no vote counts at all. Against that record, the grid's proposals sit in four different places: personal finance in schools is already policy, delivered by a budget proviso and a regulation; utility transparency is half-done — the oversight machinery is law, while the accountability bills pass the House near-unanimously and die in Senate Judiciary; property and vehicle tax relief passes only in targeted or one-year budget forms; and opening the electricity market has been studied once and never voted on. A closing note covers child care assistance, a topic sitting legislators have raised — it is not a Phase 2 proposal.</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257</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cost-of-living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31</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 — narrow fixes and big negotiated packages</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438–1</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the House's combined margin on four utility-accountability bills; every one died in Senate Judiciary</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1 of 4</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grid proposals already policy — personal finance in schools</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Some of the biggest cost-of-living moves never appear in a stand-alone law. They live in provisos — one-year policy rules enacted inside Part IB of the annual budget bill. This year's budget (FY 2026-27) gives qualifying seniors and disabled homeowners an extra $25,000 homestead exemption on top of the standing $50,000, with the state repaying local governments (proviso 117.220), and puts the income tax cut into effect faster than the tax law's own triggers (proviso 117.191, as proviso 117.208 did last year). The financial-education proposal became real this way: FY 2022-23 proviso 1.101 ordered the State Board of Education to write the half-credit personal finance graduation requirement into regulation after the bill version died in conference. The Public Service Commission's funding to oversee Santee Cooper is a proviso (72.3), not permanent law. Childcare runs the same way — the federal voucher program's rules (38.17), a new provider fraud-reporting requirement (38.28), and Full-Day 4K all live in the budget — and this year adds a state program building affordable starter homes ("Made it Home!", proviso 42.7). One budget year is a gap: FY 2020-21 has no enacted proviso set — the budget bill died in committee during COVID and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keepNext/>
        <w:spacing w:after="36" w:line="276" w:lineRule="auto"/>
        <w:rPr/>
      </w:pPr>
      <w:r>
        <w:rPr>
          <w:rFonts w:ascii="Arial" w:cs="Arial" w:eastAsia="Arial" w:hAnsi="Arial"/>
          <w:i w:val="1"/>
          <w:iCs w:val="1"/>
          <w:color w:val="666666"/>
          <w:sz w:val="20"/>
          <w:szCs w:val="20"/>
          <w:rtl w:val="0"/>
        </w:rPr>
        <w:t xml:space="preserve">Three bills in this record passed both houses and still died — and two of their ideas became law anyway.</w:t>
      </w:r>
    </w:p>
    <w:p>
      <w:pPr>
        <w:keepNext/>
        <w:spacing w:before="70" w:after="30" w:line="276" w:lineRule="auto"/>
        <w:rPr/>
      </w:pPr>
      <w:r>
        <w:rPr>
          <w:rFonts w:ascii="Arial" w:cs="Arial" w:eastAsia="Arial" w:hAnsi="Arial"/>
          <w:b w:val="1"/>
          <w:bCs w:val="1"/>
          <w:color w:val="2e4a78"/>
          <w:sz w:val="24"/>
          <w:szCs w:val="24"/>
          <w:rtl w:val="0"/>
        </w:rPr>
        <w:t xml:space="preserve">Passed both chambers, then died in conference</w:t>
      </w:r>
    </w:p>
    <w:p>
      <w:pPr>
        <w:widowControl/>
        <w:spacing w:after="49" w:line="276" w:lineRule="auto"/>
        <w:rPr/>
      </w:pPr>
      <w:r>
        <w:rPr>
          <w:rFonts w:ascii="Arial" w:cs="Arial" w:eastAsia="Arial" w:hAnsi="Arial"/>
          <w:b w:val="1"/>
          <w:bCs w:val="1"/>
          <w:color w:val="1a2d4f"/>
          <w:sz w:val="20"/>
          <w:szCs w:val="20"/>
          <w:rtl w:val="0"/>
        </w:rPr>
        <w:t xml:space="preserve">The 2024 energy package — H5118 (2024)</w:t>
      </w:r>
      <w:r>
        <w:rPr>
          <w:rFonts w:ascii="Arial" w:cs="Arial" w:eastAsia="Arial" w:hAnsi="Arial"/>
          <w:color w:val="444444"/>
          <w:sz w:val="20"/>
          <w:szCs w:val="20"/>
          <w:rtl w:val="0"/>
        </w:rPr>
        <w:t xml:space="preserve"> passed the House 88–21 and the Senate 40–2, then died in conference after the House refused the Senate's amendments 23–76; its successor became the Energy Security Act a year later (H3309, Act 41 of 2025, 94–11 and 38–3). </w:t>
      </w:r>
      <w:r>
        <w:rPr>
          <w:rFonts w:ascii="Arial" w:cs="Arial" w:eastAsia="Arial" w:hAnsi="Arial"/>
          <w:b w:val="1"/>
          <w:bCs w:val="1"/>
          <w:color w:val="1a2d4f"/>
          <w:sz w:val="20"/>
          <w:szCs w:val="20"/>
          <w:rtl w:val="0"/>
        </w:rPr>
        <w:t xml:space="preserve">The personal finance graduation requirement — S16 (2022)</w:t>
      </w:r>
      <w:r>
        <w:rPr>
          <w:rFonts w:ascii="Arial" w:cs="Arial" w:eastAsia="Arial" w:hAnsi="Arial"/>
          <w:color w:val="444444"/>
          <w:sz w:val="20"/>
          <w:szCs w:val="20"/>
          <w:rtl w:val="0"/>
        </w:rPr>
        <w:t xml:space="preserve"> passed the Senate 44–1 and the House 109–0 in differing versions and died in conference — and the idea did not: that same year, budget proviso 1.101 ordered the requirement into regulation, and Regulation 43-234 took effect in May 2023, binding every student entering ninth grade from fall 2023 (the Class of 2027 first). </w:t>
      </w:r>
      <w:r>
        <w:rPr>
          <w:rFonts w:ascii="Arial" w:cs="Arial" w:eastAsia="Arial" w:hAnsi="Arial"/>
          <w:b w:val="1"/>
          <w:bCs w:val="1"/>
          <w:color w:val="1a2d4f"/>
          <w:sz w:val="20"/>
          <w:szCs w:val="20"/>
          <w:rtl w:val="0"/>
        </w:rPr>
        <w:t xml:space="preserve">Childcare regulations modernization — S946 (2024)</w:t>
      </w:r>
      <w:r>
        <w:rPr>
          <w:rFonts w:ascii="Arial" w:cs="Arial" w:eastAsia="Arial" w:hAnsi="Arial"/>
          <w:color w:val="444444"/>
          <w:sz w:val="20"/>
          <w:szCs w:val="20"/>
          <w:rtl w:val="0"/>
        </w:rPr>
        <w:t xml:space="preserve"> passed the Senate 45–0 and the House 105–0 and died the same way. No cost-of-living bill in this record was vetoed.</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bill won a floor majority — several unanimous — before stalling in the other chamber.</w:t>
      </w:r>
    </w:p>
    <w:p>
      <w:pPr>
        <w:widowControl/>
        <w:spacing w:after="49" w:line="276" w:lineRule="auto"/>
        <w:rPr/>
      </w:pPr>
      <w:r>
        <w:rPr>
          <w:rFonts w:ascii="Arial" w:cs="Arial" w:eastAsia="Arial" w:hAnsi="Arial"/>
          <w:b w:val="1"/>
          <w:bCs w:val="1"/>
          <w:color w:val="1a2d4f"/>
          <w:sz w:val="20"/>
          <w:szCs w:val="20"/>
          <w:rtl w:val="0"/>
        </w:rPr>
        <w:t xml:space="preserve">The Ratepayer Protection Act — H4260 (2019).</w:t>
      </w:r>
      <w:r>
        <w:rPr>
          <w:rFonts w:ascii="Arial" w:cs="Arial" w:eastAsia="Arial" w:hAnsi="Arial"/>
          <w:color w:val="444444"/>
          <w:sz w:val="20"/>
          <w:szCs w:val="20"/>
          <w:rtl w:val="0"/>
        </w:rPr>
        <w:t xml:space="preserve"> Banned utilities from giving campaign contributions, meals, or anything of value to the legislators' panel that screens utility regulators, protected utility whistleblowers, and tightened regulator conflict-of-interest rules; passed the House 105–1 and died in Senate Judiciary without a vote. The revolving-door ban (H4776, 2019) passed the House 101–0, and the whistleblower refiles passed 118–0 (H4149, 2022) and 114–0 (H3614, 2023) — same committee, same ending, four times in eight years.</w:t>
      </w:r>
    </w:p>
    <w:p>
      <w:pPr>
        <w:widowControl/>
        <w:spacing w:after="49" w:line="276" w:lineRule="auto"/>
        <w:rPr/>
      </w:pPr>
      <w:r>
        <w:rPr>
          <w:rFonts w:ascii="Arial" w:cs="Arial" w:eastAsia="Arial" w:hAnsi="Arial"/>
          <w:b w:val="1"/>
          <w:bCs w:val="1"/>
          <w:color w:val="1a2d4f"/>
          <w:sz w:val="20"/>
          <w:szCs w:val="20"/>
          <w:rtl w:val="0"/>
        </w:rPr>
        <w:t xml:space="preserve">The homestead exemption increase — S768 (2026).</w:t>
      </w:r>
      <w:r>
        <w:rPr>
          <w:rFonts w:ascii="Arial" w:cs="Arial" w:eastAsia="Arial" w:hAnsi="Arial"/>
          <w:color w:val="444444"/>
          <w:sz w:val="20"/>
          <w:szCs w:val="20"/>
          <w:rtl w:val="0"/>
        </w:rPr>
        <w:t xml:space="preserve"> Raising the senior/disabled exemption to $100,000 and lowering the age to 60; passed the Senate 44–0 and died in House Ways and Means — the only broad exemption increase ever to pass a chamber.</w:t>
      </w:r>
    </w:p>
    <w:p>
      <w:pPr>
        <w:widowControl/>
        <w:spacing w:after="49" w:line="276" w:lineRule="auto"/>
        <w:rPr/>
      </w:pPr>
      <w:r>
        <w:rPr>
          <w:rFonts w:ascii="Arial" w:cs="Arial" w:eastAsia="Arial" w:hAnsi="Arial"/>
          <w:b w:val="1"/>
          <w:bCs w:val="1"/>
          <w:color w:val="1a2d4f"/>
          <w:sz w:val="20"/>
          <w:szCs w:val="20"/>
          <w:rtl w:val="0"/>
        </w:rPr>
        <w:t xml:space="preserve">The House income tax cut — H4880 (2022).</w:t>
      </w:r>
      <w:r>
        <w:rPr>
          <w:rFonts w:ascii="Arial" w:cs="Arial" w:eastAsia="Arial" w:hAnsi="Arial"/>
          <w:color w:val="444444"/>
          <w:sz w:val="20"/>
          <w:szCs w:val="20"/>
          <w:rtl w:val="0"/>
        </w:rPr>
        <w:t xml:space="preserve"> Passed the House 112–0 and died in Senate Finance as the Senate's version became the law (S1087, Act 228 of 2022, 110–0 and 39–0).</w:t>
      </w:r>
    </w:p>
    <w:p>
      <w:pPr>
        <w:widowControl/>
        <w:spacing w:after="49" w:line="276" w:lineRule="auto"/>
        <w:rPr/>
      </w:pPr>
      <w:r>
        <w:rPr>
          <w:rFonts w:ascii="Arial" w:cs="Arial" w:eastAsia="Arial" w:hAnsi="Arial"/>
          <w:b w:val="1"/>
          <w:bCs w:val="1"/>
          <w:color w:val="1a2d4f"/>
          <w:sz w:val="20"/>
          <w:szCs w:val="20"/>
          <w:rtl w:val="0"/>
        </w:rPr>
        <w:t xml:space="preserve">Santee Cooper joint ownership — S12 (2025).</w:t>
      </w:r>
      <w:r>
        <w:rPr>
          <w:rFonts w:ascii="Arial" w:cs="Arial" w:eastAsia="Arial" w:hAnsi="Arial"/>
          <w:color w:val="444444"/>
          <w:sz w:val="20"/>
          <w:szCs w:val="20"/>
          <w:rtl w:val="0"/>
        </w:rPr>
        <w:t xml:space="preserve"> Letting the state utility co-own plants and lines with private utilities — the vehicle discussed for restarting the V.C. Summer site; passed second reading 25–18, the record's closest utility floor vote, then was recommitted to Senate Judiciary and never revived.</w:t>
      </w:r>
    </w:p>
    <w:p>
      <w:pPr>
        <w:widowControl/>
        <w:spacing w:after="49" w:line="276" w:lineRule="auto"/>
        <w:rPr/>
      </w:pPr>
      <w:r>
        <w:rPr>
          <w:rFonts w:ascii="Arial" w:cs="Arial" w:eastAsia="Arial" w:hAnsi="Arial"/>
          <w:b w:val="1"/>
          <w:bCs w:val="1"/>
          <w:color w:val="1a2d4f"/>
          <w:sz w:val="20"/>
          <w:szCs w:val="20"/>
          <w:rtl w:val="0"/>
        </w:rPr>
        <w:t xml:space="preserve">The insurance bills — H4817 (2026) and H5066 (2024).</w:t>
      </w:r>
      <w:r>
        <w:rPr>
          <w:rFonts w:ascii="Arial" w:cs="Arial" w:eastAsia="Arial" w:hAnsi="Arial"/>
          <w:color w:val="444444"/>
          <w:sz w:val="20"/>
          <w:szCs w:val="20"/>
          <w:rtl w:val="0"/>
        </w:rPr>
        <w:t xml:space="preserve"> The Insurance Rate Reduction and Policyholder Protection Act passed the House 96–17; the state liquor-liability option passed the House 106–2; both died in Senate Banking and Insurance. </w:t>
      </w:r>
      <w:r>
        <w:rPr>
          <w:rFonts w:ascii="Arial" w:cs="Arial" w:eastAsia="Arial" w:hAnsi="Arial"/>
          <w:b w:val="1"/>
          <w:bCs w:val="1"/>
          <w:color w:val="1a2d4f"/>
          <w:sz w:val="20"/>
          <w:szCs w:val="20"/>
          <w:rtl w:val="0"/>
        </w:rPr>
        <w:t xml:space="preserve">The domestic-violence lease release — H4158 (2024)</w:t>
      </w:r>
      <w:r>
        <w:rPr>
          <w:rFonts w:ascii="Arial" w:cs="Arial" w:eastAsia="Arial" w:hAnsi="Arial"/>
          <w:color w:val="444444"/>
          <w:sz w:val="20"/>
          <w:szCs w:val="20"/>
          <w:rtl w:val="0"/>
        </w:rPr>
        <w:t xml:space="preserve"> passed the House 98–10 and died in Senate Judiciary; its successor became law two years later (H3569, Act 184 of 2026, 108–0 and 42–4).</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New law settles some ground — and shows where the General Assembly keeps building.</w:t>
      </w:r>
    </w:p>
    <w:p>
      <w:pPr>
        <w:keepNext/>
        <w:spacing w:before="70" w:after="30" w:line="276" w:lineRule="auto"/>
        <w:rPr/>
      </w:pPr>
      <w:r>
        <w:rPr>
          <w:rFonts w:ascii="Arial" w:cs="Arial" w:eastAsia="Arial" w:hAnsi="Arial"/>
          <w:b w:val="1"/>
          <w:bCs w:val="1"/>
          <w:color w:val="2e4a78"/>
          <w:sz w:val="24"/>
          <w:szCs w:val="24"/>
          <w:rtl w:val="0"/>
        </w:rPr>
        <w:t xml:space="preserve">New laws, 2019–2026</w:t>
      </w:r>
    </w:p>
    <w:p>
      <w:pPr>
        <w:widowControl/>
        <w:spacing w:after="49" w:line="276" w:lineRule="auto"/>
        <w:rPr/>
      </w:pPr>
      <w:r>
        <w:rPr>
          <w:rFonts w:ascii="Arial" w:cs="Arial" w:eastAsia="Arial" w:hAnsi="Arial"/>
          <w:color w:val="444444"/>
          <w:sz w:val="20"/>
          <w:szCs w:val="20"/>
          <w:rtl w:val="0"/>
        </w:rPr>
        <w:t xml:space="preserve">The oversight wave led. After the V.C. Summer collapse: the sale-or-reform evaluation (H4287, Act 95 of 2019), the Energy Freedom Act's solar-contract review and electric-customer rights (H3659, Act 62 of 2019, 110–0 and 46–0), the market-reform study committee (H4940, Act 187 of 2020, 81–31 and 41–0), the PSC screening extension (S996, Act 181 of 2020), the Santee Cooper reform putting its rates under PSC review for the first time (H3194, Act 90 of 2021, 89–26 and 44–1), the restarted PSC elections (S271 and H4402, Acts 74 and 75 of 2025), the V.C. Summer completion-proposals resolution (S51, Act 73 of 2025, 43–0 and 111–0), and the Energy Security Act with its public-witness rights in rate cases (H3309, Act 41 of 2025). The tax fixes were targeted and near-unanimous: the shutdown penalty delay (H3630, Act 96 of 2019), installment payments (H3482, Act 69 of 2021), surviving spouses and heirs' property (S233, Act 236 of 2022, 40–0 and 107–4), disabled veterans' immediate exemption (H3116, Act 116 of 2024, 111–0 and 45–0), estate continuity for a home's 4% rate (H3841, Act 140 of 2026, 107–0 and 43–0), a higher manufacturing-exemption reimbursement cap (S439, Act 122 of 2026), and the one structural option — the Municipal Tax Relief Act, letting certain cities swap a voter-approved sales tax for home property tax credits (S866, Act 228 of 2026, 32–9 and 96–16). The income tax cuts came as packages: brackets collapsed with the top rate set to fall to 6% (S1087, Act 228 of 2022) and the 2026 restructuring to a 5.21% top rate with a new 1.99% bracket (H4216, Act 110 of 2026, 64–47 and 39–5 — the closest enacted margins in this set). Housing moved through financing tools: the state housing tax credit (H3998, Act 137 of 2020), its cap-and-tighten revision (H5075, Act 202 of 2022), the stalled-project rescue (S739, Act 88 of 2023), and tourism taxes for workforce housing (S284, Act 57 of 2023). Childcare's three acts are all regulation: staff background checks (S595, Act 52 of 2019), First Steps governance (H4023, Act 81 of 2023), and caregiver training (S862, Act 216 of 2024). Insurance added private flood coverage (S882, Act 166 of 2020) and electronic policy delivery (H3977, Act 108 of 2024).</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The utility-oversight lane keeps extending — each law built on the last, from the 2019 evaluation to PSC rate review (2021) to restarted elections and public-witness rights (2025) — and the House keeps passing the accountability piece by combined margins of 438–1. Rate-case machinery keeps returning: the Electric Rate Stabilization Act got a favorable Senate committee report before being recommitted (S446, 2025-26), and the Natural Gas Rate Stabilization rewrite has been refiled every session. Property tax relief has moved into the budget — the extra $25,000 homestead exemption and the accelerated rate cuts are one-year provisos a future session could make permanent or drop. And childcare-assistance filings are accelerating in the tax code — the venue where this record's cost relief actually passes.</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Measured against the grid's proposals: one is already policy, one is half-done, one passes only in narrow forms, and one has never had a vote.</w:t>
      </w:r>
    </w:p>
    <w:p>
      <w:pPr>
        <w:widowControl/>
        <w:spacing w:after="49" w:line="276" w:lineRule="auto"/>
        <w:rPr/>
      </w:pPr>
      <w:r>
        <w:rPr>
          <w:rFonts w:ascii="Arial" w:cs="Arial" w:eastAsia="Arial" w:hAnsi="Arial"/>
          <w:b w:val="1"/>
          <w:bCs w:val="1"/>
          <w:color w:val="1a2d4f"/>
          <w:sz w:val="20"/>
          <w:szCs w:val="20"/>
          <w:rtl w:val="0"/>
        </w:rPr>
        <w:t xml:space="preserve">Opening the electricity market.</w:t>
      </w:r>
      <w:r>
        <w:rPr>
          <w:rFonts w:ascii="Arial" w:cs="Arial" w:eastAsia="Arial" w:hAnsi="Arial"/>
          <w:color w:val="444444"/>
          <w:sz w:val="20"/>
          <w:szCs w:val="20"/>
          <w:rtl w:val="0"/>
        </w:rPr>
        <w:t xml:space="preserve"> The state formally studied it — Act 187 of 2020 created the Electricity Market Reform Measures Study Committee with an independent expert consultant, on the most contested vote of any enacted bill here (House 81–31) — but every bill that would actually let customers choose a supplier arrived in 2026 and died in its first committee without a vote: retail choice for households and small businesses (H5439), third-party suppliers over the incumbent's wires (H5440, S878), and PSC oversight of the co-ops' wholesale power contracts (H5525). Earlier edges went the same way: territory choice for businesses (H3344, 2019) and forcing Santee Cooper into a regional grid operator (S439, 2021). A straight repeal of exclusive service territories has never been filed.</w:t>
      </w:r>
    </w:p>
    <w:p>
      <w:pPr>
        <w:widowControl/>
        <w:spacing w:after="49" w:line="276" w:lineRule="auto"/>
        <w:rPr/>
      </w:pPr>
      <w:r>
        <w:rPr>
          <w:rFonts w:ascii="Arial" w:cs="Arial" w:eastAsia="Arial" w:hAnsi="Arial"/>
          <w:b w:val="1"/>
          <w:bCs w:val="1"/>
          <w:color w:val="1a2d4f"/>
          <w:sz w:val="20"/>
          <w:szCs w:val="20"/>
          <w:rtl w:val="0"/>
        </w:rPr>
        <w:t xml:space="preserve">Cutting property and vehicle taxes broadly.</w:t>
      </w:r>
      <w:r>
        <w:rPr>
          <w:rFonts w:ascii="Arial" w:cs="Arial" w:eastAsia="Arial" w:hAnsi="Arial"/>
          <w:color w:val="444444"/>
          <w:sz w:val="20"/>
          <w:szCs w:val="20"/>
          <w:rtl w:val="0"/>
        </w:rPr>
        <w:t xml:space="preserve"> Full elimination was filed once — H3378 (2025), every property tax, with dollar-for-dollar state repayment to local governments — and died in House Ways and Means, where 45 of the 67 home-property-tax bills stopped. Thirty-five bills raising the $50,000 homestead exemption or exempting seniors' homes entirely died without votes (S768's Senate 44–0 is the lone exception, and it died in the same room). Thirteen vehicle and boat tax bills produced zero recorded votes — the broadest (H5014, 2026) would have exempted one car for seniors — and no bill proposes ending the vehicle property tax statewide.</w:t>
      </w:r>
    </w:p>
    <w:p>
      <w:pPr>
        <w:widowControl/>
        <w:spacing w:after="49" w:line="276" w:lineRule="auto"/>
        <w:rPr/>
      </w:pPr>
      <w:r>
        <w:rPr>
          <w:rFonts w:ascii="Arial" w:cs="Arial" w:eastAsia="Arial" w:hAnsi="Arial"/>
          <w:b w:val="1"/>
          <w:bCs w:val="1"/>
          <w:color w:val="1a2d4f"/>
          <w:sz w:val="20"/>
          <w:szCs w:val="20"/>
          <w:rtl w:val="0"/>
        </w:rPr>
        <w:t xml:space="preserve">Utility billing protections.</w:t>
      </w:r>
      <w:r>
        <w:rPr>
          <w:rFonts w:ascii="Arial" w:cs="Arial" w:eastAsia="Arial" w:hAnsi="Arial"/>
          <w:color w:val="444444"/>
          <w:sz w:val="20"/>
          <w:szCs w:val="20"/>
          <w:rtl w:val="0"/>
        </w:rPr>
        <w:t xml:space="preserve"> Nineteen consumer-billing bills over four sessions — payment-fee bans, shutoff limits in dangerous weather, balance-transfer bans, senior surcharge exemptions, customer-data privacy, data-center cost walls — and not one received a recorded vote at any stage.</w:t>
      </w:r>
    </w:p>
    <w:p>
      <w:pPr>
        <w:widowControl/>
        <w:spacing w:after="49" w:line="276" w:lineRule="auto"/>
        <w:rPr/>
      </w:pPr>
      <w:r>
        <w:rPr>
          <w:rFonts w:ascii="Arial" w:cs="Arial" w:eastAsia="Arial" w:hAnsi="Arial"/>
          <w:b w:val="1"/>
          <w:bCs w:val="1"/>
          <w:color w:val="1a2d4f"/>
          <w:sz w:val="20"/>
          <w:szCs w:val="20"/>
          <w:rtl w:val="0"/>
        </w:rPr>
        <w:t xml:space="preserve">The financial-ties disclosure piece.</w:t>
      </w:r>
      <w:r>
        <w:rPr>
          <w:rFonts w:ascii="Arial" w:cs="Arial" w:eastAsia="Arial" w:hAnsi="Arial"/>
          <w:color w:val="444444"/>
          <w:sz w:val="20"/>
          <w:szCs w:val="20"/>
          <w:rtl w:val="0"/>
        </w:rPr>
        <w:t xml:space="preserve"> Legislators already file annual Statements of Economic Interests under the ethics law, but those forms are not utility-specific, and no bill from 2019–2026 adds a utility-specific disclosure duty for legislators. Every filed approach regulated the utilities' side — H4260's gift and contribution bans — and that is the piece that passes the House and dies in Senate Judiciary.</w:t>
      </w:r>
    </w:p>
    <w:p>
      <w:pPr>
        <w:keepNext/>
        <w:spacing w:before="84" w:after="36" w:line="276" w:lineRule="auto"/>
        <w:rPr/>
      </w:pPr>
      <w:r>
        <w:rPr>
          <w:rFonts w:ascii="Arial" w:cs="Arial" w:eastAsia="Arial" w:hAnsi="Arial"/>
          <w:b w:val="1"/>
          <w:bCs w:val="1"/>
          <w:color w:val="c0392b"/>
          <w:sz w:val="25"/>
          <w:szCs w:val="25"/>
          <w:rtl w:val="0"/>
        </w:rPr>
        <w:t xml:space="preserve">A TOPIC IN THE ROOM: CHILD CARE ASSISTANCE</w:t>
      </w:r>
    </w:p>
    <w:p>
      <w:pPr>
        <w:keepNext/>
        <w:spacing w:after="36" w:line="276" w:lineRule="auto"/>
        <w:rPr/>
      </w:pPr>
      <w:r>
        <w:rPr>
          <w:rFonts w:ascii="Arial" w:cs="Arial" w:eastAsia="Arial" w:hAnsi="Arial"/>
          <w:i w:val="1"/>
          <w:iCs w:val="1"/>
          <w:color w:val="666666"/>
          <w:sz w:val="20"/>
          <w:szCs w:val="20"/>
          <w:rtl w:val="0"/>
        </w:rPr>
        <w:t xml:space="preserve">Raised in reported discussions with sitting legislators — not a Phase 2 proposal; the record was scanned on request.</w:t>
      </w:r>
    </w:p>
    <w:p>
      <w:pPr>
        <w:widowControl/>
        <w:spacing w:after="49" w:line="276" w:lineRule="auto"/>
        <w:rPr/>
      </w:pPr>
      <w:r>
        <w:rPr>
          <w:rFonts w:ascii="Arial" w:cs="Arial" w:eastAsia="Arial" w:hAnsi="Arial"/>
          <w:b w:val="1"/>
          <w:bCs w:val="1"/>
          <w:color w:val="1a2d4f"/>
          <w:sz w:val="20"/>
          <w:szCs w:val="20"/>
          <w:rtl w:val="0"/>
        </w:rPr>
        <w:t xml:space="preserve">What passes in childcare is regulation, never assistance.</w:t>
      </w:r>
      <w:r>
        <w:rPr>
          <w:rFonts w:ascii="Arial" w:cs="Arial" w:eastAsia="Arial" w:hAnsi="Arial"/>
          <w:color w:val="444444"/>
          <w:sz w:val="20"/>
          <w:szCs w:val="20"/>
          <w:rtl w:val="0"/>
        </w:rPr>
        <w:t xml:space="preserve"> Three acts in eight years — background checks, First Steps governance, caregiver training — and S946's unanimous double passage died in conference. Every assistance design died in a money committee without a vote: workforce childcare stipends for unemployed parents (H4394, 2025), a bigger employer childcare credit plus a pay-supplement credit for childcare workers (S47/H4015, 2025), a refundable child-and-dependent-care credit (H5794, filed August 2026 — the newest bill in this set), the Childcare Advance deferral (H4993, 2024), and pre-K expansion grants (H5205, 2024). One bill runs the other direction: S770 (2026) would add work requirements to federally funded assistance. The signals that distinguish this lane from the zero-movement ones: filings are accelerating, every design extends the two childcare tax credits already in statute, and S946 shows childcare bills pass unanimously when they reach a floor. What has never been filed is a direct-payment state subsidy outside the tax code — today's assistance is federal voucher money run through DSS under one-year budget provisos.</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utility oversight as negotiated packages (the record's biggest enacting lane — the Santee Cooper and energy acts, PSC elections, public-witness rights); targeted property tax fixes (nine acts, all near-unanimous); income tax cuts when leadership carries them (two acts); housing financing tools (four acts); childcare regulation (three acts plus S946's double passage).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market competition (one study, zero bill votes); utility billing protections (0 of 19, no vote ever taken); broad homestead increases (0 of 35, one chamber passage); vehicle tax relief (0 of 13, same); rent control and most tenant-cost rules; and the utility-accountability bills, which pass the House and stop in one Senate committee.</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Four rooms are this record's great filter: utility bills go to House Labor, Commerce and Industry and Senate Judiciary — in South Carolina, utility law belongs to the Judiciary Committee — and tax bills, including every childcare-assistance design, go to House Ways and Means and Senate Finance. Of 257 bills, 201 died in their first committee, and South Carolina publishes committee outcomes but never committee vote tallies, so no count exists for any of these stops. Party labels are deliberately absent throughout this packet — attaching them requires a ballot-roster join that was not fetched — so this brief makes no party claims. Rep. King led fourteen bills (utility billing protections, senior exemptions), all stopped in first committee; Rep. Ott carried the whistleblower bills the House passed 118–0 and 114–0; Rep. Burns led the elimination and big-exemption bills; and the enacted packages were carried by chamber leaders — Speaker Lucas (Santee Cooper reform), Rep. G.M. Smith (the energy bills), Sen. Peeler (the 2022 tax cut and S768).</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Electricity splits down the middle: retail rates, service territories, and who may sell to customers are state ground (the PSC and Title 58 — which is why the retail-choice bills are state bills), while wholesale markets and interstate transmission are federal (FERC) — the layer the co-op wholesale-access and regional-grid bills work through — and nuclear licensing at V.C. Summer is the NRC's. The big federal energy programs (the infrastructure and inflation acts' household energy money) run through the state Energy Office under a budget proviso. Childcare assistance today is federal money — the voucher/scholarship program through DSS — while the two childcare tax credits the filed bills would extend are state code. Flood insurance is federally dominated (the National Flood Insurance Program); the state's Act 166 of 2020 opened the market to private alternatives. The state housing tax credit exists by matching the federal one. What has no federal layer at all is most of this brief: property and vehicle taxes, the homestead exemption, the sales-tax swap, the income tax rates, utility-regulator ethics rules, and the personal-finance graduation requirement are state ground alone.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final Community Conversations grid has traveled. Each policy is sorted into the same viability groups the brief uses, so the brief's top section shows what is viable overall and these spotlights show how viable one policy may be. The frequency, consensus, and concerns under each heading are what participants and the feedback grid reported; everything else is the legislative record. A closing spotlight covers child care assistance, a legislator-discussion topic outside the grid.</w:t>
      </w:r>
    </w:p>
    <w:p>
      <w:pPr>
        <w:keepNext/>
        <w:spacing w:before="84" w:after="36" w:line="254" w:lineRule="auto"/>
        <w:rPr/>
      </w:pPr>
      <w:r>
        <w:rPr>
          <w:rFonts w:ascii="Arial" w:cs="Arial" w:eastAsia="Arial" w:hAnsi="Arial"/>
          <w:b w:val="1"/>
          <w:bCs w:val="1"/>
          <w:color w:val="c0392b"/>
          <w:sz w:val="25"/>
          <w:szCs w:val="25"/>
          <w:rtl w:val="0"/>
        </w:rPr>
        <w:t xml:space="preserve">GREATER TRANSPARENCY INTO UTILITY RATES AND LEGISLATOR–UTILITY FINANCIAL TIES</w:t>
      </w:r>
    </w:p>
    <w:p>
      <w:pPr>
        <w:keepNext/>
        <w:spacing w:after="60"/>
        <w:rPr/>
      </w:pPr>
      <w:r>
        <w:rPr>
          <w:rFonts w:ascii="Arial" w:cs="Arial" w:eastAsia="Arial" w:hAnsi="Arial"/>
          <w:i w:val="1"/>
          <w:iCs w:val="1"/>
          <w:color w:val="666666"/>
          <w:sz w:val="20"/>
          <w:szCs w:val="20"/>
          <w:rtl w:val="0"/>
        </w:rPr>
        <w:t xml:space="preserve">Raised in two of four in-person events, with high consensus when discussed; participants broadly agreed that consumers feel like the utility company has all the power. The record: the oversight machinery is law; the accountability bills pass the House by a combined 438–1 and die in Senate Judiciary; no bill addresses legislator-side disclosure directly.</w:t>
      </w:r>
    </w:p>
    <w:p>
      <w:pPr>
        <w:keepNext/>
        <w:spacing w:before="70" w:after="30" w:line="250" w:lineRule="auto"/>
        <w:rPr/>
      </w:pPr>
      <w:r>
        <w:rPr>
          <w:rFonts w:ascii="Arial" w:cs="Arial" w:eastAsia="Arial" w:hAnsi="Arial"/>
          <w:b w:val="1"/>
          <w:bCs w:val="1"/>
          <w:color w:val="2e4a78"/>
          <w:sz w:val="24"/>
          <w:szCs w:val="24"/>
          <w:rtl w:val="0"/>
        </w:rPr>
        <w:t xml:space="preserve">Already law (oversight structure, not the money-ties ban)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H3194 (Act 90 of 2021): </w:t>
      </w:r>
      <w:r>
        <w:rPr>
          <w:rFonts w:ascii="Arial" w:cs="Arial" w:eastAsia="Arial" w:hAnsi="Arial"/>
          <w:color w:val="444444"/>
          <w:sz w:val="20"/>
          <w:szCs w:val="20"/>
          <w:rtl w:val="0"/>
        </w:rPr>
        <w:t xml:space="preserve">rebuilt Santee Cooper's board and put its rates under Public Service Commission review for the first time; 89–26 and 44–1.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S271 / H4402 (Acts 74 and 75 of 2025): </w:t>
      </w:r>
      <w:r>
        <w:rPr>
          <w:rFonts w:ascii="Arial" w:cs="Arial" w:eastAsia="Arial" w:hAnsi="Arial"/>
          <w:color w:val="444444"/>
          <w:sz w:val="20"/>
          <w:szCs w:val="20"/>
          <w:rtl w:val="0"/>
        </w:rPr>
        <w:t xml:space="preserve">restarted the PSC elections that had been on hold while commissioners served expired terms; 40–0 / 110–0 and 44–0.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H3309 (Act 41 of 2025): </w:t>
      </w:r>
      <w:r>
        <w:rPr>
          <w:rFonts w:ascii="Arial" w:cs="Arial" w:eastAsia="Arial" w:hAnsi="Arial"/>
          <w:color w:val="444444"/>
          <w:sz w:val="20"/>
          <w:szCs w:val="20"/>
          <w:rtl w:val="0"/>
        </w:rPr>
        <w:t xml:space="preserve">the Energy Security Act — customers may testify as public witnesses in rate cases, with schedules and deadlines for rate proceedings; 94–11 and 38–3.</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S51 (Act 73 of 2025): </w:t>
      </w:r>
      <w:r>
        <w:rPr>
          <w:rFonts w:ascii="Arial" w:cs="Arial" w:eastAsia="Arial" w:hAnsi="Arial"/>
          <w:color w:val="444444"/>
          <w:sz w:val="20"/>
          <w:szCs w:val="20"/>
          <w:rtl w:val="0"/>
        </w:rPr>
        <w:t xml:space="preserve">proposals process for finishing the V.C. Summer reactors; 43–0 and 111–0. The PSC's Santee Cooper oversight is funded by budget proviso (72.3), not permanent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S996 (Act 181 of 2020): </w:t>
      </w:r>
      <w:r>
        <w:rPr>
          <w:rFonts w:ascii="Arial" w:cs="Arial" w:eastAsia="Arial" w:hAnsi="Arial"/>
          <w:color w:val="444444"/>
          <w:sz w:val="20"/>
          <w:szCs w:val="20"/>
          <w:rtl w:val="0"/>
        </w:rPr>
        <w:t xml:space="preserve">reopened and extended PSC candidate screening for four seats; 37–0 and 78–32.</w:t>
      </w:r>
    </w:p>
    <w:p>
      <w:pPr>
        <w:keepNext/>
        <w:spacing w:before="70" w:after="30" w:line="250" w:lineRule="auto"/>
        <w:rPr/>
      </w:pPr>
      <w:r>
        <w:rPr>
          <w:rFonts w:ascii="Arial" w:cs="Arial" w:eastAsia="Arial" w:hAnsi="Arial"/>
          <w:b w:val="1"/>
          <w:bCs w:val="1"/>
          <w:color w:val="2e4a78"/>
          <w:sz w:val="24"/>
          <w:szCs w:val="24"/>
          <w:rtl w:val="0"/>
        </w:rPr>
        <w:t xml:space="preserve">Proven support (passed the House; died in Senate Judiciary without a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H4260 (2019): </w:t>
      </w:r>
      <w:r>
        <w:rPr>
          <w:rFonts w:ascii="Arial" w:cs="Arial" w:eastAsia="Arial" w:hAnsi="Arial"/>
          <w:color w:val="444444"/>
          <w:sz w:val="20"/>
          <w:szCs w:val="20"/>
          <w:rtl w:val="0"/>
        </w:rPr>
        <w:t xml:space="preserve">the Ratepayer Protection Act — no utility campaign contributions, meals, or anything of value to the legislators' panel that screens PSC candidates; whistleblower protections; regulator conflict-of-interest rules. House 105–1.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H4776 (2019): </w:t>
      </w:r>
      <w:r>
        <w:rPr>
          <w:rFonts w:ascii="Arial" w:cs="Arial" w:eastAsia="Arial" w:hAnsi="Arial"/>
          <w:color w:val="444444"/>
          <w:sz w:val="20"/>
          <w:szCs w:val="20"/>
          <w:rtl w:val="0"/>
        </w:rPr>
        <w:t xml:space="preserve">ban on former PSC members working for utilities stretched from one year to three. House 101–0.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H4149 (2022) / H3614 (2023): </w:t>
      </w:r>
      <w:r>
        <w:rPr>
          <w:rFonts w:ascii="Arial" w:cs="Arial" w:eastAsia="Arial" w:hAnsi="Arial"/>
          <w:color w:val="444444"/>
          <w:sz w:val="20"/>
          <w:szCs w:val="20"/>
          <w:rtl w:val="0"/>
        </w:rPr>
        <w:t xml:space="preserve">the whistleblower protections refiled alone. House 118–0 and 114–0.</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PSC restructuring: </w:t>
      </w:r>
      <w:r>
        <w:rPr>
          <w:rFonts w:ascii="Arial" w:cs="Arial" w:eastAsia="Arial" w:hAnsi="Arial"/>
          <w:color w:val="444444"/>
          <w:sz w:val="20"/>
          <w:szCs w:val="20"/>
          <w:rtl w:val="0"/>
        </w:rPr>
        <w:t xml:space="preserve">S779 and S909 (2024) — shrink the commission to five seats and require published reasons for decisions on a deadline.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Screening and conduct rules: </w:t>
      </w:r>
      <w:r>
        <w:rPr>
          <w:rFonts w:ascii="Arial" w:cs="Arial" w:eastAsia="Arial" w:hAnsi="Arial"/>
          <w:color w:val="444444"/>
          <w:sz w:val="20"/>
          <w:szCs w:val="20"/>
          <w:rtl w:val="0"/>
        </w:rPr>
        <w:t xml:space="preserve">H3641, H3642, H4194, H4809, S947 (2019); rate-increase freezes during emergencies (S344, 2021; S218, 2023); public election of the PSC (H4531, 2019).</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Citizen oversight: </w:t>
      </w:r>
      <w:r>
        <w:rPr>
          <w:rFonts w:ascii="Arial" w:cs="Arial" w:eastAsia="Arial" w:hAnsi="Arial"/>
          <w:color w:val="444444"/>
          <w:sz w:val="20"/>
          <w:szCs w:val="20"/>
          <w:rtl w:val="0"/>
        </w:rPr>
        <w:t xml:space="preserve">H5283 (2026, a Utility Citizens Council funded by the utilities) and H5282 (2026, PSC approval before billing-practice changes).</w:t>
      </w:r>
    </w:p>
    <w:p>
      <w:pPr>
        <w:keepNext/>
        <w:spacing w:before="70" w:after="30" w:line="250" w:lineRule="auto"/>
        <w:rPr/>
      </w:pPr>
      <w:r>
        <w:rPr>
          <w:rFonts w:ascii="Arial" w:cs="Arial" w:eastAsia="Arial" w:hAnsi="Arial"/>
          <w:b w:val="1"/>
          <w:bCs w:val="1"/>
          <w:color w:val="2e4a78"/>
          <w:sz w:val="24"/>
          <w:szCs w:val="24"/>
          <w:rtl w:val="0"/>
        </w:rPr>
        <w:t xml:space="preserve">Never filed (the disclosure half)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No bill from 2019–2026 adds a utility-specific financial-disclosure duty for legislators themselves. The grid's legislator note says members already report on their Statements of Economic Interests; those annual ethics filings are public but not utility-specific, and every filed approach regulated what utilities may give (H4260's bans), not what legislators must disclose.</w:t>
      </w:r>
    </w:p>
    <w:p>
      <w:pPr>
        <w:keepNext/>
        <w:spacing w:before="84" w:after="36" w:line="254" w:lineRule="auto"/>
        <w:rPr/>
      </w:pPr>
      <w:r>
        <w:rPr>
          <w:rFonts w:ascii="Arial" w:cs="Arial" w:eastAsia="Arial" w:hAnsi="Arial"/>
          <w:b w:val="1"/>
          <w:bCs w:val="1"/>
          <w:color w:val="c0392b"/>
          <w:sz w:val="25"/>
          <w:szCs w:val="25"/>
          <w:rtl w:val="0"/>
        </w:rPr>
        <w:t xml:space="preserve">OPEN THE UTILITY MARKET / LOWER BARRIERS TO COMPETITION (END THE MONOPOLY)</w:t>
      </w:r>
    </w:p>
    <w:p>
      <w:pPr>
        <w:keepNext/>
        <w:spacing w:after="60"/>
        <w:rPr/>
      </w:pPr>
      <w:r>
        <w:rPr>
          <w:rFonts w:ascii="Arial" w:cs="Arial" w:eastAsia="Arial" w:hAnsi="Arial"/>
          <w:i w:val="1"/>
          <w:iCs w:val="1"/>
          <w:color w:val="666666"/>
          <w:sz w:val="20"/>
          <w:szCs w:val="20"/>
          <w:rtl w:val="0"/>
        </w:rPr>
        <w:t xml:space="preserve">Raised in two of four in-person events, with mixed consensus: some supported the idea that a free market could lower prices, while others worried it was impractical given the infrastructure it takes to run a utility. The record: studied once by law; every operative bill was filed in 2026 and died without a vote.</w:t>
      </w:r>
    </w:p>
    <w:p>
      <w:pPr>
        <w:keepNext/>
        <w:spacing w:before="70" w:after="30" w:line="250" w:lineRule="auto"/>
        <w:rPr/>
      </w:pPr>
      <w:r>
        <w:rPr>
          <w:rFonts w:ascii="Arial" w:cs="Arial" w:eastAsia="Arial" w:hAnsi="Arial"/>
          <w:b w:val="1"/>
          <w:bCs w:val="1"/>
          <w:color w:val="2e4a78"/>
          <w:sz w:val="24"/>
          <w:szCs w:val="24"/>
          <w:rtl w:val="0"/>
        </w:rPr>
        <w:t xml:space="preserve">Already law (a study, not a market change)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H4940 (Act 187 of 2020): </w:t>
      </w:r>
      <w:r>
        <w:rPr>
          <w:rFonts w:ascii="Arial" w:cs="Arial" w:eastAsia="Arial" w:hAnsi="Arial"/>
          <w:color w:val="444444"/>
          <w:sz w:val="20"/>
          <w:szCs w:val="20"/>
          <w:rtl w:val="0"/>
        </w:rPr>
        <w:t xml:space="preserve">created the Electricity Market Reform Measures Study Committee with an independent expert consultant — the state's formal look at the exact feasibility question participants raised; House 81–31 (the most contested vote of any enacted bill in this set), Senate 41–0. The committee's report is outside this bill record.</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H5439 (2026): </w:t>
      </w:r>
      <w:r>
        <w:rPr>
          <w:rFonts w:ascii="Arial" w:cs="Arial" w:eastAsia="Arial" w:hAnsi="Arial"/>
          <w:color w:val="444444"/>
          <w:sz w:val="20"/>
          <w:szCs w:val="20"/>
          <w:rtl w:val="0"/>
        </w:rPr>
        <w:t xml:space="preserve">the Electric Retail Choice Act — households and small businesses choose their generation supplier, with PSC permits and plain-language price disclosures.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H5440 / S878 (2026): </w:t>
      </w:r>
      <w:r>
        <w:rPr>
          <w:rFonts w:ascii="Arial" w:cs="Arial" w:eastAsia="Arial" w:hAnsi="Arial"/>
          <w:color w:val="444444"/>
          <w:sz w:val="20"/>
          <w:szCs w:val="20"/>
          <w:rtl w:val="0"/>
        </w:rPr>
        <w:t xml:space="preserve">third-party electric suppliers for eligible customers over the incumbent utility's wires, with the customer arranging transmission — designs that use the existing infrastructure rather than duplicating it.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H5525 (2026): </w:t>
      </w:r>
      <w:r>
        <w:rPr>
          <w:rFonts w:ascii="Arial" w:cs="Arial" w:eastAsia="Arial" w:hAnsi="Arial"/>
          <w:color w:val="444444"/>
          <w:sz w:val="20"/>
          <w:szCs w:val="20"/>
          <w:rtl w:val="0"/>
        </w:rPr>
        <w:t xml:space="preserve">PSC oversight of electric co-ops' wholesale power contracts and rates ("wholesale market access").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H3344 (2019): </w:t>
      </w:r>
      <w:r>
        <w:rPr>
          <w:rFonts w:ascii="Arial" w:cs="Arial" w:eastAsia="Arial" w:hAnsi="Arial"/>
          <w:color w:val="444444"/>
          <w:sz w:val="20"/>
          <w:szCs w:val="20"/>
          <w:rtl w:val="0"/>
        </w:rPr>
        <w:t xml:space="preserve">businesses could take service from a supplier outside their assigned territory. **S439 (2021):** Santee Cooper forced to sell its plants and hand transmission to a regional grid operator. **S998 (2019):** the Senate version of the market-reform study.</w:t>
      </w:r>
    </w:p>
    <w:p>
      <w:pPr>
        <w:keepNext/>
        <w:spacing w:before="70" w:after="30" w:line="250" w:lineRule="auto"/>
        <w:rPr/>
      </w:pPr>
      <w:r>
        <w:rPr>
          <w:rFonts w:ascii="Arial" w:cs="Arial" w:eastAsia="Arial" w:hAnsi="Arial"/>
          <w:b w:val="1"/>
          <w:bCs w:val="1"/>
          <w:color w:val="2e4a78"/>
          <w:sz w:val="24"/>
          <w:szCs w:val="24"/>
          <w:rtl w:val="0"/>
        </w:rPr>
        <w:t xml:space="preserve">Nearby floor signal</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S12 (2025-26): </w:t>
      </w:r>
      <w:r>
        <w:rPr>
          <w:rFonts w:ascii="Arial" w:cs="Arial" w:eastAsia="Arial" w:hAnsi="Arial"/>
          <w:color w:val="444444"/>
          <w:sz w:val="20"/>
          <w:szCs w:val="20"/>
          <w:rtl w:val="0"/>
        </w:rPr>
        <w:t xml:space="preserve">Santee Cooper co-owning plants with private utilities — the record's closest utility floor vote, second reading 25–18, then recommitted to Senate Judiciary and never revived.</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straight repeal of exclusive service territories. The 2026 bills all route choice through PSC permits and incumbent wires rather than abolishing territories outright.</w:t>
      </w:r>
    </w:p>
    <w:p>
      <w:pPr>
        <w:keepNext/>
        <w:spacing w:before="84" w:after="36" w:line="254" w:lineRule="auto"/>
        <w:rPr/>
      </w:pPr>
      <w:r>
        <w:rPr>
          <w:rFonts w:ascii="Arial" w:cs="Arial" w:eastAsia="Arial" w:hAnsi="Arial"/>
          <w:b w:val="1"/>
          <w:bCs w:val="1"/>
          <w:color w:val="c0392b"/>
          <w:sz w:val="25"/>
          <w:szCs w:val="25"/>
          <w:rtl w:val="0"/>
        </w:rPr>
        <w:t xml:space="preserve">PERSONAL BUDGETING AND FINANCIAL EDUCATION</w:t>
      </w:r>
    </w:p>
    <w:p>
      <w:pPr>
        <w:keepNext/>
        <w:spacing w:after="60"/>
        <w:rPr/>
      </w:pPr>
      <w:r>
        <w:rPr>
          <w:rFonts w:ascii="Arial" w:cs="Arial" w:eastAsia="Arial" w:hAnsi="Arial"/>
          <w:i w:val="1"/>
          <w:iCs w:val="1"/>
          <w:color w:val="666666"/>
          <w:sz w:val="20"/>
          <w:szCs w:val="20"/>
          <w:rtl w:val="0"/>
        </w:rPr>
        <w:t xml:space="preserve">Raised in one event (Columbia), with mixed consensus: agreement that financial responsibility matters, divergence over how to accomplish it, and concerns about implementation and whether it is the state's role. The grid's legislator note asks that the idea be tied to a specific action, such as a subject taught in schools. The record: that specific action is already taken — through a budget proviso and a regulation.</w:t>
      </w:r>
    </w:p>
    <w:p>
      <w:pPr>
        <w:keepNext/>
        <w:spacing w:before="70" w:after="30" w:line="250" w:lineRule="auto"/>
        <w:rPr/>
      </w:pPr>
      <w:r>
        <w:rPr>
          <w:rFonts w:ascii="Arial" w:cs="Arial" w:eastAsia="Arial" w:hAnsi="Arial"/>
          <w:b w:val="1"/>
          <w:bCs w:val="1"/>
          <w:color w:val="2e4a78"/>
          <w:sz w:val="24"/>
          <w:szCs w:val="24"/>
          <w:rtl w:val="0"/>
        </w:rPr>
        <w:t xml:space="preserve">Already law / in force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FY 2022-23 budget proviso 1.101: </w:t>
      </w:r>
      <w:r>
        <w:rPr>
          <w:rFonts w:ascii="Arial" w:cs="Arial" w:eastAsia="Arial" w:hAnsi="Arial"/>
          <w:color w:val="444444"/>
          <w:sz w:val="20"/>
          <w:szCs w:val="20"/>
          <w:rtl w:val="0"/>
        </w:rPr>
        <w:t xml:space="preserve">ordered the State Board of Education to write a required half-credit in personal finance into the graduation rules — the school-subject action the feedback note describes.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Regulation 43-234 (Document 5130), effective May 26, 2023: </w:t>
      </w:r>
      <w:r>
        <w:rPr>
          <w:rFonts w:ascii="Arial" w:cs="Arial" w:eastAsia="Arial" w:hAnsi="Arial"/>
          <w:color w:val="444444"/>
          <w:sz w:val="20"/>
          <w:szCs w:val="20"/>
          <w:rtl w:val="0"/>
        </w:rPr>
        <w:t xml:space="preserve">the requirement itself. Every student entering ninth grade from fall 2023 — the Class of 2027 first — must earn the half-credit to graduate. The approval resolution (S732, 2023) stalled in committee; the regulation took effect under the state's regulation-review clock anyway.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Section 59-29-410 (since 2005): </w:t>
      </w:r>
      <w:r>
        <w:rPr>
          <w:rFonts w:ascii="Arial" w:cs="Arial" w:eastAsia="Arial" w:hAnsi="Arial"/>
          <w:color w:val="444444"/>
          <w:sz w:val="20"/>
          <w:szCs w:val="20"/>
          <w:rtl w:val="0"/>
        </w:rPr>
        <w:t xml:space="preserve">the standing financial-literacy instruction statute — the state claimed this role twenty years ago.</w:t>
      </w:r>
    </w:p>
    <w:p>
      <w:pPr>
        <w:keepNext/>
        <w:spacing w:before="70" w:after="30" w:line="250" w:lineRule="auto"/>
        <w:rPr/>
      </w:pPr>
      <w:r>
        <w:rPr>
          <w:rFonts w:ascii="Arial" w:cs="Arial" w:eastAsia="Arial" w:hAnsi="Arial"/>
          <w:b w:val="1"/>
          <w:bCs w:val="1"/>
          <w:color w:val="2e4a78"/>
          <w:sz w:val="24"/>
          <w:szCs w:val="24"/>
          <w:rtl w:val="0"/>
        </w:rPr>
        <w:t xml:space="preserve">Proven support (passed a chamber or both; never enacted as a bill)</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S16 (2021-22): </w:t>
      </w:r>
      <w:r>
        <w:rPr>
          <w:rFonts w:ascii="Arial" w:cs="Arial" w:eastAsia="Arial" w:hAnsi="Arial"/>
          <w:color w:val="444444"/>
          <w:sz w:val="20"/>
          <w:szCs w:val="20"/>
          <w:rtl w:val="0"/>
        </w:rPr>
        <w:t xml:space="preserve">personal finance coursework required for graduation in place of the economics requirement; Senate 44–1 and House 109–0 in differing versions; died in conference.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H3199 (2019-20): </w:t>
      </w:r>
      <w:r>
        <w:rPr>
          <w:rFonts w:ascii="Arial" w:cs="Arial" w:eastAsia="Arial" w:hAnsi="Arial"/>
          <w:color w:val="444444"/>
          <w:sz w:val="20"/>
          <w:szCs w:val="20"/>
          <w:rtl w:val="0"/>
        </w:rPr>
        <w:t xml:space="preserve">added student-loan, credit, and repayment topics to the required program; House 102–10; died in Senate Education.</w:t>
      </w:r>
    </w:p>
    <w:p>
      <w:pPr>
        <w:keepNext/>
        <w:spacing w:before="70" w:after="30" w:line="250" w:lineRule="auto"/>
        <w:rPr/>
      </w:pPr>
      <w:r>
        <w:rPr>
          <w:rFonts w:ascii="Arial" w:cs="Arial" w:eastAsia="Arial" w:hAnsi="Arial"/>
          <w:b w:val="1"/>
          <w:bCs w:val="1"/>
          <w:color w:val="2e4a78"/>
          <w:sz w:val="24"/>
          <w:szCs w:val="24"/>
          <w:rtl w:val="0"/>
        </w:rPr>
        <w:t xml:space="preserve">Stopped early (died in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S15 (2019): </w:t>
      </w:r>
      <w:r>
        <w:rPr>
          <w:rFonts w:ascii="Arial" w:cs="Arial" w:eastAsia="Arial" w:hAnsi="Arial"/>
          <w:color w:val="444444"/>
          <w:sz w:val="20"/>
          <w:szCs w:val="20"/>
          <w:rtl w:val="0"/>
        </w:rPr>
        <w:t xml:space="preserve">the half-credit requirement with an end-of-year test — favorable committee report, died on the Senate calendar.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H4149 (2019), H3116 (2021), S405 (2021): </w:t>
      </w:r>
      <w:r>
        <w:rPr>
          <w:rFonts w:ascii="Arial" w:cs="Arial" w:eastAsia="Arial" w:hAnsi="Arial"/>
          <w:color w:val="444444"/>
          <w:sz w:val="20"/>
          <w:szCs w:val="20"/>
          <w:rtl w:val="0"/>
        </w:rPr>
        <w:t xml:space="preserve">graduation-requirement refiles. **H3022 and H4582 (2021):** more required topics and life skills for the existing program.</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Anything on financial education for adults — every bill in this record is about high school students. The first class bound by the requirement graduates in 2027, so no outcome data exists yet.</w:t>
      </w:r>
    </w:p>
    <w:p>
      <w:pPr>
        <w:keepNext/>
        <w:spacing w:before="84" w:after="36" w:line="254" w:lineRule="auto"/>
        <w:rPr/>
      </w:pPr>
      <w:r>
        <w:rPr>
          <w:rFonts w:ascii="Arial" w:cs="Arial" w:eastAsia="Arial" w:hAnsi="Arial"/>
          <w:b w:val="1"/>
          <w:bCs w:val="1"/>
          <w:color w:val="c0392b"/>
          <w:sz w:val="25"/>
          <w:szCs w:val="25"/>
          <w:rtl w:val="0"/>
        </w:rPr>
        <w:t xml:space="preserve">REDUCE / ELIMINATE PROPERTY AND VEHICLE TAXES</w:t>
      </w:r>
    </w:p>
    <w:p>
      <w:pPr>
        <w:keepNext/>
        <w:spacing w:after="60"/>
        <w:rPr/>
      </w:pPr>
      <w:r>
        <w:rPr>
          <w:rFonts w:ascii="Arial" w:cs="Arial" w:eastAsia="Arial" w:hAnsi="Arial"/>
          <w:i w:val="1"/>
          <w:iCs w:val="1"/>
          <w:color w:val="666666"/>
          <w:sz w:val="20"/>
          <w:szCs w:val="20"/>
          <w:rtl w:val="0"/>
        </w:rPr>
        <w:t xml:space="preserve">From the grid's legislator-feedback section (no Phase 2 frequency or consensus cells); the standing tradeoff is replacing the revenue that schools and local governments run on. The record: eighty bills, the wins narrow and near-unanimous, and the biggest recent relief delivered as one-year budget relief.</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S866 (Act 228 of 2026): </w:t>
      </w:r>
      <w:r>
        <w:rPr>
          <w:rFonts w:ascii="Arial" w:cs="Arial" w:eastAsia="Arial" w:hAnsi="Arial"/>
          <w:color w:val="444444"/>
          <w:sz w:val="20"/>
          <w:szCs w:val="20"/>
          <w:rtl w:val="0"/>
        </w:rPr>
        <w:t xml:space="preserve">the Municipal Tax Relief Act — certain cities may ask voters to approve up to a 1% sales tax that funds property tax credits on owner-occupied homes; 32–9 and 96–16. The one enacted design that answers the revenue tradeoff directly, by swapping the source.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H3116 (Act 116 of 2024): </w:t>
      </w:r>
      <w:r>
        <w:rPr>
          <w:rFonts w:ascii="Arial" w:cs="Arial" w:eastAsia="Arial" w:hAnsi="Arial"/>
          <w:color w:val="444444"/>
          <w:sz w:val="20"/>
          <w:szCs w:val="20"/>
          <w:rtl w:val="0"/>
        </w:rPr>
        <w:t xml:space="preserve">disabled veterans (and qualifying surviving spouses) get the exemption the year disability occurs; 111–0 and 45–0.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H3841 (Act 140 of 2026): </w:t>
      </w:r>
      <w:r>
        <w:rPr>
          <w:rFonts w:ascii="Arial" w:cs="Arial" w:eastAsia="Arial" w:hAnsi="Arial"/>
          <w:color w:val="444444"/>
          <w:sz w:val="20"/>
          <w:szCs w:val="20"/>
          <w:rtl w:val="0"/>
        </w:rPr>
        <w:t xml:space="preserve">a home keeps its 4% rate and exemptions while the owner's estate settles; 107–0 and 43–0.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S233 (Act 236 of 2022): </w:t>
      </w:r>
      <w:r>
        <w:rPr>
          <w:rFonts w:ascii="Arial" w:cs="Arial" w:eastAsia="Arial" w:hAnsi="Arial"/>
          <w:color w:val="444444"/>
          <w:sz w:val="20"/>
          <w:szCs w:val="20"/>
          <w:rtl w:val="0"/>
        </w:rPr>
        <w:t xml:space="preserve">homestead exemption extended to qualifying surviving spouses and heirs' property; 40–0 and 107–4. **H3482 (Act 69 of 2021):** county installment payment schedules; 110–0 and 45–0. **H3630 (Act 96 of 2019):** penalty delay for federal workers in the 2019 shutdown.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In the budget: </w:t>
      </w:r>
      <w:r>
        <w:rPr>
          <w:rFonts w:ascii="Arial" w:cs="Arial" w:eastAsia="Arial" w:hAnsi="Arial"/>
          <w:color w:val="444444"/>
          <w:sz w:val="20"/>
          <w:szCs w:val="20"/>
          <w:rtl w:val="0"/>
        </w:rPr>
        <w:t xml:space="preserve">FY 2026-27 proviso 117.220 (extra $25,000 homestead exemption, state-reimbursed) and provisos 117.208/117.191 (income tax rate cut in effect ahead of the statute's triggers).</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S768 (2026): </w:t>
      </w:r>
      <w:r>
        <w:rPr>
          <w:rFonts w:ascii="Arial" w:cs="Arial" w:eastAsia="Arial" w:hAnsi="Arial"/>
          <w:color w:val="444444"/>
          <w:sz w:val="20"/>
          <w:szCs w:val="20"/>
          <w:rtl w:val="0"/>
        </w:rPr>
        <w:t xml:space="preserve">homestead exemption to $100,000 and eligibility age down to 60; Senate 44–0; died in House Ways and Means — the only broad exemption increase ever to pass a chamber.</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H4880 (2022): </w:t>
      </w:r>
      <w:r>
        <w:rPr>
          <w:rFonts w:ascii="Arial" w:cs="Arial" w:eastAsia="Arial" w:hAnsi="Arial"/>
          <w:color w:val="444444"/>
          <w:sz w:val="20"/>
          <w:szCs w:val="20"/>
          <w:rtl w:val="0"/>
        </w:rPr>
        <w:t xml:space="preserve">the House's income tax cut (top rate to 6%); House 112–0; died in Senate Finance as the Senate's version (S1087, Act 228 of 2022) became the law.</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Eliminate property taxes entirely: </w:t>
      </w:r>
      <w:r>
        <w:rPr>
          <w:rFonts w:ascii="Arial" w:cs="Arial" w:eastAsia="Arial" w:hAnsi="Arial"/>
          <w:color w:val="444444"/>
          <w:sz w:val="20"/>
          <w:szCs w:val="20"/>
          <w:rtl w:val="0"/>
        </w:rPr>
        <w:t xml:space="preserve">H3378 (2025) — all property, with dollar-for-dollar state reimbursement to local governments.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Homestead exemption increases (35 bills): </w:t>
      </w:r>
      <w:r>
        <w:rPr>
          <w:rFonts w:ascii="Arial" w:cs="Arial" w:eastAsia="Arial" w:hAnsi="Arial"/>
          <w:color w:val="444444"/>
          <w:sz w:val="20"/>
          <w:szCs w:val="20"/>
          <w:rtl w:val="0"/>
        </w:rPr>
        <w:t xml:space="preserve">to $75,000 (S910, 2019), to $100,000 (H3127, 2023), to the home's full value (H3687, 2019; H4197, 2021), greater-of formulas (H5264, 2023; H3380, 2025), new groups (deaf taxpayers: S1027, 2021; S433, 2023), refiled by the half-dozen in 2025-26 (H3419, H3427, H3511, H3742, H4599, H4690, S223).</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Full senior exemptions: </w:t>
      </w:r>
      <w:r>
        <w:rPr>
          <w:rFonts w:ascii="Arial" w:cs="Arial" w:eastAsia="Arial" w:hAnsi="Arial"/>
          <w:color w:val="444444"/>
          <w:sz w:val="20"/>
          <w:szCs w:val="20"/>
          <w:rtl w:val="0"/>
        </w:rPr>
        <w:t xml:space="preserve">exempt the entire home at 65 (H3736, 2019), at 70 (S565 and H4818, 2019; S12 refilings), at 80 (H3122, 2019; H3386, 2021; H3086, 2023); the Property Tax Relief for Seniors Act (H3424, 2025: up to $1 million of value, funded by a new sales tax).</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Vehicle and boat taxes (13 bills, zero votes): </w:t>
      </w:r>
      <w:r>
        <w:rPr>
          <w:rFonts w:ascii="Arial" w:cs="Arial" w:eastAsia="Arial" w:hAnsi="Arial"/>
          <w:color w:val="444444"/>
          <w:sz w:val="20"/>
          <w:szCs w:val="20"/>
          <w:rtl w:val="0"/>
        </w:rPr>
        <w:t xml:space="preserve">one car exempt for seniors (H5014, 2026); disabled veterans' vehicles (H4564, S943); disabled first responders (H4511, H3410); service members posted out of state (S1018); guardians (H4138); boats taxed where kept (S38) and no double billing in twelve months (H5111); two bills (H3385, H3085) would have barred treasurers from refusing a car-tax payment because the taxpayer owes on something else.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Valuation changes: </w:t>
      </w:r>
      <w:r>
        <w:rPr>
          <w:rFonts w:ascii="Arial" w:cs="Arial" w:eastAsia="Arial" w:hAnsi="Arial"/>
          <w:color w:val="444444"/>
          <w:sz w:val="20"/>
          <w:szCs w:val="20"/>
          <w:rtl w:val="0"/>
        </w:rPr>
        <w:t xml:space="preserve">constitutional amendments to redefine fair market value and remove the 15% reassessment cap (H3626, H3671, H3809); delay all reassessments to 2026 (H4910).</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Statewide elimination of the vehicle property tax — every vehicle bill is a targeted exemption. (Context for elimination designs: owner-occupied homes already pay no school operating taxes under the 2006 Act 388 swap, so the revenue question concerns the remaining county, municipal, and bond lines.)</w:t>
      </w:r>
    </w:p>
    <w:p>
      <w:pPr>
        <w:keepNext/>
        <w:spacing w:before="84" w:after="36" w:line="254" w:lineRule="auto"/>
        <w:rPr/>
      </w:pPr>
      <w:r>
        <w:rPr>
          <w:rFonts w:ascii="Arial" w:cs="Arial" w:eastAsia="Arial" w:hAnsi="Arial"/>
          <w:b w:val="1"/>
          <w:bCs w:val="1"/>
          <w:color w:val="c0392b"/>
          <w:sz w:val="25"/>
          <w:szCs w:val="25"/>
          <w:rtl w:val="0"/>
        </w:rPr>
        <w:t xml:space="preserve">CHILD CARE ASSISTANCE (LEGISLATOR-DISCUSSION TOPIC, NOT A PHASE 2 PROPOSAL)</w:t>
      </w:r>
    </w:p>
    <w:p>
      <w:pPr>
        <w:keepNext/>
        <w:spacing w:after="60"/>
        <w:rPr/>
      </w:pPr>
      <w:r>
        <w:rPr>
          <w:rFonts w:ascii="Arial" w:cs="Arial" w:eastAsia="Arial" w:hAnsi="Arial"/>
          <w:i w:val="1"/>
          <w:iCs w:val="1"/>
          <w:color w:val="666666"/>
          <w:sz w:val="20"/>
          <w:szCs w:val="20"/>
          <w:rtl w:val="0"/>
        </w:rPr>
        <w:t xml:space="preserve">Raised in reported discussions with sitting legislators; the record was scanned on request. The record: regulation passes; every assistance design sits in a money committee without a vote; the filings are accelerating and all run through the tax code.</w:t>
      </w:r>
    </w:p>
    <w:p>
      <w:pPr>
        <w:keepNext/>
        <w:spacing w:before="70" w:after="30" w:line="250" w:lineRule="auto"/>
        <w:rPr/>
      </w:pPr>
      <w:r>
        <w:rPr>
          <w:rFonts w:ascii="Arial" w:cs="Arial" w:eastAsia="Arial" w:hAnsi="Arial"/>
          <w:b w:val="1"/>
          <w:bCs w:val="1"/>
          <w:color w:val="2e4a78"/>
          <w:sz w:val="24"/>
          <w:szCs w:val="24"/>
          <w:rtl w:val="0"/>
        </w:rPr>
        <w:t xml:space="preserve">Already law (regulation and governance, not assistance)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S595 (Act 52 of 2019): </w:t>
      </w:r>
      <w:r>
        <w:rPr>
          <w:rFonts w:ascii="Arial" w:cs="Arial" w:eastAsia="Arial" w:hAnsi="Arial"/>
          <w:color w:val="444444"/>
          <w:sz w:val="20"/>
          <w:szCs w:val="20"/>
          <w:rtl w:val="0"/>
        </w:rPr>
        <w:t xml:space="preserve">background-check rules for childcare facility staff; 39–0 and 100–1.</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H4023 (Act 81 of 2023): </w:t>
      </w:r>
      <w:r>
        <w:rPr>
          <w:rFonts w:ascii="Arial" w:cs="Arial" w:eastAsia="Arial" w:hAnsi="Arial"/>
          <w:color w:val="444444"/>
          <w:sz w:val="20"/>
          <w:szCs w:val="20"/>
          <w:rtl w:val="0"/>
        </w:rPr>
        <w:t xml:space="preserve">restructured local First Steps early-childhood partnership boards; 41–0 and 107–0.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S862 (Act 216 of 2024): </w:t>
      </w:r>
      <w:r>
        <w:rPr>
          <w:rFonts w:ascii="Arial" w:cs="Arial" w:eastAsia="Arial" w:hAnsi="Arial"/>
          <w:color w:val="444444"/>
          <w:sz w:val="20"/>
          <w:szCs w:val="20"/>
          <w:rtl w:val="0"/>
        </w:rPr>
        <w:t xml:space="preserve">caregiver education and preservice-training requirements for childcare centers; 44–0 and 108–0.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In the budget: </w:t>
      </w:r>
      <w:r>
        <w:rPr>
          <w:rFonts w:ascii="Arial" w:cs="Arial" w:eastAsia="Arial" w:hAnsi="Arial"/>
          <w:color w:val="444444"/>
          <w:sz w:val="20"/>
          <w:szCs w:val="20"/>
          <w:rtl w:val="0"/>
        </w:rPr>
        <w:t xml:space="preserve">the federal voucher/scholarship program runs through DSS under proviso 38.17 every cycle (vouchers must go to providers exceeding minimum licensing standards); FY 2026-27 adds provider fraud reporting (38.28); Full-Day 4K expands through provisos every year.</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S946 (2024): </w:t>
      </w:r>
      <w:r>
        <w:rPr>
          <w:rFonts w:ascii="Arial" w:cs="Arial" w:eastAsia="Arial" w:hAnsi="Arial"/>
          <w:color w:val="444444"/>
          <w:sz w:val="20"/>
          <w:szCs w:val="20"/>
          <w:rtl w:val="0"/>
        </w:rPr>
        <w:t xml:space="preserve">childcare regulations modernization; Senate 45–0 and House 105–0 in differing versions; died in conference at session's end.</w:t>
      </w:r>
    </w:p>
    <w:p>
      <w:pPr>
        <w:keepNext/>
        <w:spacing w:before="70" w:after="30" w:line="250" w:lineRule="auto"/>
        <w:rPr/>
      </w:pPr>
      <w:r>
        <w:rPr>
          <w:rFonts w:ascii="Arial" w:cs="Arial" w:eastAsia="Arial" w:hAnsi="Arial"/>
          <w:b w:val="1"/>
          <w:bCs w:val="1"/>
          <w:color w:val="2e4a78"/>
          <w:sz w:val="24"/>
          <w:szCs w:val="24"/>
          <w:rtl w:val="0"/>
        </w:rPr>
        <w:t xml:space="preserve">Stopped early (died in a money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H4394 (2025): </w:t>
      </w:r>
      <w:r>
        <w:rPr>
          <w:rFonts w:ascii="Arial" w:cs="Arial" w:eastAsia="Arial" w:hAnsi="Arial"/>
          <w:color w:val="444444"/>
          <w:sz w:val="20"/>
          <w:szCs w:val="20"/>
          <w:rtl w:val="0"/>
        </w:rPr>
        <w:t xml:space="preserve">workforce-development childcare stipends, through DSS and the state workforce agency, for unemployed parents and caregivers of children under 12 — the only direct-assistance design filed; House Ways and Means.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S47 / H4015 (2025): </w:t>
      </w:r>
      <w:r>
        <w:rPr>
          <w:rFonts w:ascii="Arial" w:cs="Arial" w:eastAsia="Arial" w:hAnsi="Arial"/>
          <w:color w:val="444444"/>
          <w:sz w:val="20"/>
          <w:szCs w:val="20"/>
          <w:rtl w:val="0"/>
        </w:rPr>
        <w:t xml:space="preserve">a bigger employer childcare-program tax credit plus a new income tax credit for childcare directors and staff (a pay supplement through the tax code); Senate Finance / House Ways and Means.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H5794 (filed August 2026): </w:t>
      </w:r>
      <w:r>
        <w:rPr>
          <w:rFonts w:ascii="Arial" w:cs="Arial" w:eastAsia="Arial" w:hAnsi="Arial"/>
          <w:color w:val="444444"/>
          <w:sz w:val="20"/>
          <w:szCs w:val="20"/>
          <w:rtl w:val="0"/>
        </w:rPr>
        <w:t xml:space="preserve">make the existing child and dependent care credit refundable — the newest bill in this entire set; House Ways and Means.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H4993 (2024): </w:t>
      </w:r>
      <w:r>
        <w:rPr>
          <w:rFonts w:ascii="Arial" w:cs="Arial" w:eastAsia="Arial" w:hAnsi="Arial"/>
          <w:color w:val="444444"/>
          <w:sz w:val="20"/>
          <w:szCs w:val="20"/>
          <w:rtl w:val="0"/>
        </w:rPr>
        <w:t xml:space="preserve">the Childcare Advance Act — income tax deferral against childcare expenses. **H5205 (2024):** pre-K expansion grants. **H3079 (2021):** an affordable-childcare study committee. **S291 (2019):** an early-childhood department.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other direction: </w:t>
      </w:r>
      <w:r>
        <w:rPr>
          <w:rFonts w:ascii="Arial" w:cs="Arial" w:eastAsia="Arial" w:hAnsi="Arial"/>
          <w:color w:val="444444"/>
          <w:sz w:val="20"/>
          <w:szCs w:val="20"/>
          <w:rtl w:val="0"/>
        </w:rPr>
        <w:t xml:space="preserve">S770 (2026) would add employment requirements to federally funded childcare assistance; first committee.</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direct-payment state subsidy to families or providers outside the tax code, or a state-funded expansion of assistance beyond the federal voucher money. Every filed design extends the two childcare tax credits already in statute (the employer credit, §12-6-3440, and the child and dependent care credit, §12-6-3380).</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Public Service Commission (PSC):</w:t>
      </w:r>
      <w:r>
        <w:rPr>
          <w:rFonts w:ascii="Arial" w:cs="Arial" w:eastAsia="Arial" w:hAnsi="Arial"/>
          <w:color w:val="444444"/>
          <w:sz w:val="20"/>
          <w:szCs w:val="20"/>
          <w:rtl w:val="0"/>
        </w:rPr>
        <w:t xml:space="preserve"> The seven-member state body that sets investor-owned utilities' rates case by case; elected by the General Assembly after screening.</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Public Utilities Review Committee:</w:t>
      </w:r>
      <w:r>
        <w:rPr>
          <w:rFonts w:ascii="Arial" w:cs="Arial" w:eastAsia="Arial" w:hAnsi="Arial"/>
          <w:color w:val="444444"/>
          <w:sz w:val="20"/>
          <w:szCs w:val="20"/>
          <w:rtl w:val="0"/>
        </w:rPr>
        <w:t xml:space="preserve"> The legislative panel that screens PSC candidates. The 2019 Ratepayer Protection Act would have barred utilities from giving its members anything of value.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Santee Cooper:</w:t>
      </w:r>
      <w:r>
        <w:rPr>
          <w:rFonts w:ascii="Arial" w:cs="Arial" w:eastAsia="Arial" w:hAnsi="Arial"/>
          <w:color w:val="444444"/>
          <w:sz w:val="20"/>
          <w:szCs w:val="20"/>
          <w:rtl w:val="0"/>
        </w:rPr>
        <w:t xml:space="preserve"> The state-owned electric and water utility (officially the SC Public Service Authority); its role in V.C. Summer drove most of the oversight laws in this brief.</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V.C. Summer:</w:t>
      </w:r>
      <w:r>
        <w:rPr>
          <w:rFonts w:ascii="Arial" w:cs="Arial" w:eastAsia="Arial" w:hAnsi="Arial"/>
          <w:color w:val="444444"/>
          <w:sz w:val="20"/>
          <w:szCs w:val="20"/>
          <w:rtl w:val="0"/>
        </w:rPr>
        <w:t xml:space="preserve"> The two-reactor nuclear project abandoned in 2017 after billions in spending; customers were left paying for it, setting off the 2019–2025 wave of utility legislation.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Rate case:</w:t>
      </w:r>
      <w:r>
        <w:rPr>
          <w:rFonts w:ascii="Arial" w:cs="Arial" w:eastAsia="Arial" w:hAnsi="Arial"/>
          <w:color w:val="444444"/>
          <w:sz w:val="20"/>
          <w:szCs w:val="20"/>
          <w:rtl w:val="0"/>
        </w:rPr>
        <w:t xml:space="preserve"> The PSC proceeding where a utility asks to change its rates. The 2025 Energy Security Act lets customers testify in these as public witnesses.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Service territory / retail choice:</w:t>
      </w:r>
      <w:r>
        <w:rPr>
          <w:rFonts w:ascii="Arial" w:cs="Arial" w:eastAsia="Arial" w:hAnsi="Arial"/>
          <w:color w:val="444444"/>
          <w:sz w:val="20"/>
          <w:szCs w:val="20"/>
          <w:rtl w:val="0"/>
        </w:rPr>
        <w:t xml:space="preserve"> State law assigns each area one electric provider; customers cannot choose. Retail-choice bills (first filed 2026) would let customers buy power from competing sellers over the existing wires.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Ratepayer:</w:t>
      </w:r>
      <w:r>
        <w:rPr>
          <w:rFonts w:ascii="Arial" w:cs="Arial" w:eastAsia="Arial" w:hAnsi="Arial"/>
          <w:color w:val="444444"/>
          <w:sz w:val="20"/>
          <w:szCs w:val="20"/>
          <w:rtl w:val="0"/>
        </w:rPr>
        <w:t xml:space="preserve"> A utility customer — anyone paying an electric, gas, or water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Statement of Economic Interests (SEI):</w:t>
      </w:r>
      <w:r>
        <w:rPr>
          <w:rFonts w:ascii="Arial" w:cs="Arial" w:eastAsia="Arial" w:hAnsi="Arial"/>
          <w:color w:val="444444"/>
          <w:sz w:val="20"/>
          <w:szCs w:val="20"/>
          <w:rtl w:val="0"/>
        </w:rPr>
        <w:t xml:space="preserve"> The annual public disclosure of income sources and business ties legislators file under the state ethics law. Not utility-specific.</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Homestead exemption:</w:t>
      </w:r>
      <w:r>
        <w:rPr>
          <w:rFonts w:ascii="Arial" w:cs="Arial" w:eastAsia="Arial" w:hAnsi="Arial"/>
          <w:color w:val="444444"/>
          <w:sz w:val="20"/>
          <w:szCs w:val="20"/>
          <w:rtl w:val="0"/>
        </w:rPr>
        <w:t xml:space="preserve"> For homeowners 65+, disabled, or legally blind, the first $50,000 of home value is exempt from property tax (§12-37-250). This year's budget adds a one-year extra $25,000 (proviso 117.220).</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388 swap:</w:t>
      </w:r>
      <w:r>
        <w:rPr>
          <w:rFonts w:ascii="Arial" w:cs="Arial" w:eastAsia="Arial" w:hAnsi="Arial"/>
          <w:color w:val="444444"/>
          <w:sz w:val="20"/>
          <w:szCs w:val="20"/>
          <w:rtl w:val="0"/>
        </w:rPr>
        <w:t xml:space="preserve"> Since 2006, owner-occupied homes pay no school operating property taxes; a statewide sales-tax penny reimburses schools through the Homestead Exemption Fund.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Assessment ratio:</w:t>
      </w:r>
      <w:r>
        <w:rPr>
          <w:rFonts w:ascii="Arial" w:cs="Arial" w:eastAsia="Arial" w:hAnsi="Arial"/>
          <w:color w:val="444444"/>
          <w:sz w:val="20"/>
          <w:szCs w:val="20"/>
          <w:rtl w:val="0"/>
        </w:rPr>
        <w:t xml:space="preserve"> Owner-occupied homes are taxed on 4% of value; rentals, second homes, and businesses on 6%. Act 140 of 2026 keeps a home at 4% while an estate settles.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Vehicle property tax:</w:t>
      </w:r>
      <w:r>
        <w:rPr>
          <w:rFonts w:ascii="Arial" w:cs="Arial" w:eastAsia="Arial" w:hAnsi="Arial"/>
          <w:color w:val="444444"/>
          <w:sz w:val="20"/>
          <w:szCs w:val="20"/>
          <w:rtl w:val="0"/>
        </w:rPr>
        <w:t xml:space="preserve"> The county tax paid each year at registration on a car's value — county revenue, set under state rules.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Municipal Tax Relief Act:</w:t>
      </w:r>
      <w:r>
        <w:rPr>
          <w:rFonts w:ascii="Arial" w:cs="Arial" w:eastAsia="Arial" w:hAnsi="Arial"/>
          <w:color w:val="444444"/>
          <w:sz w:val="20"/>
          <w:szCs w:val="20"/>
          <w:rtl w:val="0"/>
        </w:rPr>
        <w:t xml:space="preserve"> The 2026 law (S866, Act 228 of 2026) letting certain cities ask voters to approve up to a 1% sales tax that funds property tax credits on owner-occupied homes.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Regulation 43-234 / Document 5130:</w:t>
      </w:r>
      <w:r>
        <w:rPr>
          <w:rFonts w:ascii="Arial" w:cs="Arial" w:eastAsia="Arial" w:hAnsi="Arial"/>
          <w:color w:val="444444"/>
          <w:sz w:val="20"/>
          <w:szCs w:val="20"/>
          <w:rtl w:val="0"/>
        </w:rPr>
        <w:t xml:space="preserve"> The State Board of Education graduation regulation requiring a half-credit in personal finance, effective May 26, 2023; ordered by FY 2022-23 budget proviso 1.101.</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Child care voucher / scholarship:</w:t>
      </w:r>
      <w:r>
        <w:rPr>
          <w:rFonts w:ascii="Arial" w:cs="Arial" w:eastAsia="Arial" w:hAnsi="Arial"/>
          <w:color w:val="444444"/>
          <w:sz w:val="20"/>
          <w:szCs w:val="20"/>
          <w:rtl w:val="0"/>
        </w:rPr>
        <w:t xml:space="preserve"> The federally funded childcare assistance program run through DSS; the budget regulates it annually by proviso (38.17).</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Childcare tax credits:</w:t>
      </w:r>
      <w:r>
        <w:rPr>
          <w:rFonts w:ascii="Arial" w:cs="Arial" w:eastAsia="Arial" w:hAnsi="Arial"/>
          <w:color w:val="444444"/>
          <w:sz w:val="20"/>
          <w:szCs w:val="20"/>
          <w:rtl w:val="0"/>
        </w:rPr>
        <w:t xml:space="preserve"> The two credits already in statute — the employer childcare-program credit (§12-6-3440) and the individual child and dependent care credit (§12-6-3380) — that every filed assistance design would extend.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Housing tax credit:</w:t>
      </w:r>
      <w:r>
        <w:rPr>
          <w:rFonts w:ascii="Arial" w:cs="Arial" w:eastAsia="Arial" w:hAnsi="Arial"/>
          <w:color w:val="444444"/>
          <w:sz w:val="20"/>
          <w:szCs w:val="20"/>
          <w:rtl w:val="0"/>
        </w:rPr>
        <w:t xml:space="preserve"> The state credit (created 2020, tightened 2022) that helps finance affordable-housing construction by matching the federal credit.</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every market-opening, consumer-billing, and vehicle-tax bill did. In the Senate, utility bills go to Judiciary — a quirk of South Carolina's committee system.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Recommitted:</w:t>
      </w:r>
      <w:r>
        <w:rPr>
          <w:rFonts w:ascii="Arial" w:cs="Arial" w:eastAsia="Arial" w:hAnsi="Arial"/>
          <w:color w:val="444444"/>
          <w:sz w:val="20"/>
          <w:szCs w:val="20"/>
          <w:rtl w:val="0"/>
        </w:rPr>
        <w:t xml:space="preserve"> Sent from the floor calendar back to committee — how the Santee Cooper joint-ownership bill (S12) and the Electric Rate Stabilization Act (S446) were shelved in 2026 after advancing.</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94–11 and 38–3):</w:t>
      </w:r>
      <w:r>
        <w:rPr>
          <w:rFonts w:ascii="Arial" w:cs="Arial" w:eastAsia="Arial" w:hAnsi="Arial"/>
          <w:color w:val="444444"/>
          <w:sz w:val="20"/>
          <w:szCs w:val="20"/>
          <w:rtl w:val="0"/>
        </w:rPr>
        <w:t xml:space="preserve"> Yes–no floor tallies, one per chamber — the first number in a pair is usually the House, the second the Senate.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In this record, that second committee stop is where the House-passed utility-accountability and insurance bills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a bill dies there if the session ends first — the fate of the 2024 energy package (H5118), the personal-finance graduation bill (S16), and the childcare modernization bill (S946).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41 of 2025"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record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the Santee Cooper bidding process (H4287), the PSC election restarts (S271, H4402), and the regulation-approval resolutions in this record.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Regulation review:</w:t>
      </w:r>
      <w:r>
        <w:rPr>
          <w:rFonts w:ascii="Arial" w:cs="Arial" w:eastAsia="Arial" w:hAnsi="Arial"/>
          <w:color w:val="444444"/>
          <w:sz w:val="20"/>
          <w:szCs w:val="20"/>
          <w:rtl w:val="0"/>
        </w:rPr>
        <w:t xml:space="preserve"> Agency regulations go to the General Assembly for review; if lawmakers do not act within the review window, the regulation takes effect — how the personal-finance graduation requirement became binding without its approval resolution passing.</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South Carolina's counterpart to other states' budget riders: one-year policy rules enacted inside the annual appropriations act, where the extra homestead exemption, the tax-rate accelerations, the childcare voucher rules, and the Santee Cooper oversight funding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bill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Rising Cost of Living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