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spacing w:after="40" w:line="276" w:lineRule="auto"/>
        <w:rPr/>
      </w:pPr>
      <w:r>
        <w:rPr>
          <w:rFonts w:ascii="Arial" w:cs="Arial" w:eastAsia="Arial" w:hAnsi="Arial"/>
          <w:b w:val="1"/>
          <w:bCs w:val="1"/>
          <w:color w:val="1a2d4f"/>
          <w:sz w:val="36"/>
          <w:szCs w:val="36"/>
          <w:rtl w:val="0"/>
        </w:rPr>
        <w:t xml:space="preserve">Energy Cost, Sourcing, and Reliability in New Hampshire</w:t>
      </w:r>
    </w:p>
    <w:p>
      <w:pPr>
        <w:keepNext/>
        <w:spacing w:after="120" w:line="276" w:lineRule="auto"/>
        <w:rPr/>
      </w:pPr>
      <w:r>
        <w:rPr>
          <w:rFonts w:ascii="Arial" w:cs="Arial" w:eastAsia="Arial" w:hAnsi="Arial"/>
          <w:color w:val="444444"/>
          <w:sz w:val="20"/>
          <w:szCs w:val="20"/>
          <w:rtl w:val="0"/>
        </w:rPr>
        <w:t xml:space="preserve">The legislative record behind Granite Staters' energy proposals, 2020–2026 — organized by how close each idea has come to becoming law.</w:t>
      </w:r>
    </w:p>
    <w:p>
      <w:pPr>
        <w:keepNext/>
        <w:spacing w:before="84" w:after="36" w:line="276" w:lineRule="auto"/>
        <w:rPr/>
      </w:pPr>
      <w:r>
        <w:rPr>
          <w:rFonts w:ascii="Arial" w:cs="Arial" w:eastAsia="Arial" w:hAnsi="Arial"/>
          <w:b w:val="1"/>
          <w:bCs w:val="1"/>
          <w:color w:val="c0392b"/>
          <w:sz w:val="25"/>
          <w:szCs w:val="25"/>
          <w:rtl w:val="0"/>
        </w:rPr>
        <w:t xml:space="preserve">WHAT THIS BRIEF COVERS</w:t>
      </w:r>
    </w:p>
    <w:p>
      <w:pPr>
        <w:widowControl/>
        <w:spacing w:after="49" w:line="276" w:lineRule="auto"/>
        <w:rPr/>
      </w:pPr>
      <w:r>
        <w:rPr>
          <w:rFonts w:ascii="Arial" w:cs="Arial" w:eastAsia="Arial" w:hAnsi="Arial"/>
          <w:color w:val="444444"/>
          <w:sz w:val="20"/>
          <w:szCs w:val="20"/>
          <w:rtl w:val="0"/>
        </w:rPr>
        <w:t xml:space="preserve">New Hampshire's General Court took up 375 energy bills across the 2020–2026 sessions, and 103 became law. The record has a clear shape — and a reversal in the middle of it: 2020's renewable and net-metering expansions passed both chambers and died at the Governor's desk; 2021 moved nearly all energy regulation into a new Department of Energy inside the budget trailer; community power for cities and towns passed in steps every session after; and from 2023 the direction turned — offshore wind was rejected by House resolution, the renewable energy fund was swept into the general fund by the 2025 trailer, and the diversification the Legislature chose instead was nuclear and utility-owned generation.</w:t>
      </w:r>
    </w:p>
    <w:tbl>
      <w:tblPr>
        <w:tblStyle w:val="Table1"/>
        <w:tblW w:w="10512.0" w:type="dxa"/>
        <w:jc w:val="center"/>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5">
            <w:pPr>
              <w:spacing w:after="20" w:line="276" w:lineRule="auto"/>
              <w:rPr/>
            </w:pPr>
            <w:r w:rsidDel="00000000" w:rsidR="00000000" w:rsidRPr="00000000">
              <w:rPr>
                <w:rFonts w:ascii="Arial" w:cs="Arial" w:eastAsia="Arial" w:hAnsi="Arial"/>
                <w:b w:val="1"/>
                <w:bCs w:val="1"/>
                <w:color w:val="1a2d4f"/>
                <w:sz w:val="36"/>
                <w:szCs w:val="36"/>
                <w:rtl w:val="0"/>
              </w:rPr>
              <w:t xml:space="preserve">375</w:t>
            </w:r>
            <w:r w:rsidDel="00000000" w:rsidR="00000000" w:rsidRPr="00000000">
              <w:rPr>
                <w:rtl w:val="0"/>
              </w:rPr>
            </w:r>
          </w:p>
          <w:p w:rsidR="00000000" w:rsidDel="00000000" w:rsidP="00000000" w:rsidRDefault="00000000" w:rsidRPr="00000000" w14:paraId="00000006">
            <w:pPr>
              <w:spacing w:after="0" w:line="276" w:lineRule="auto"/>
              <w:rPr/>
            </w:pPr>
            <w:r w:rsidDel="00000000" w:rsidR="00000000" w:rsidRPr="00000000">
              <w:rPr>
                <w:rFonts w:ascii="Arial" w:cs="Arial" w:eastAsia="Arial" w:hAnsi="Arial"/>
                <w:color w:val="666666"/>
                <w:sz w:val="20"/>
                <w:szCs w:val="20"/>
                <w:rtl w:val="0"/>
              </w:rPr>
              <w:t xml:space="preserve">energy bills, 2020–2026</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7">
            <w:pPr>
              <w:spacing w:after="20" w:line="276" w:lineRule="auto"/>
              <w:rPr/>
            </w:pPr>
            <w:r w:rsidDel="00000000" w:rsidR="00000000" w:rsidRPr="00000000">
              <w:rPr>
                <w:rFonts w:ascii="Arial" w:cs="Arial" w:eastAsia="Arial" w:hAnsi="Arial"/>
                <w:b w:val="1"/>
                <w:bCs w:val="1"/>
                <w:color w:val="1a2d4f"/>
                <w:sz w:val="36"/>
                <w:szCs w:val="36"/>
                <w:rtl w:val="0"/>
              </w:rPr>
              <w:t xml:space="preserve">103</w:t>
            </w:r>
            <w:r w:rsidDel="00000000" w:rsidR="00000000" w:rsidRPr="00000000">
              <w:rPr>
                <w:rtl w:val="0"/>
              </w:rPr>
            </w:r>
          </w:p>
          <w:p w:rsidR="00000000" w:rsidDel="00000000" w:rsidP="00000000" w:rsidRDefault="00000000" w:rsidRPr="00000000" w14:paraId="00000008">
            <w:pPr>
              <w:spacing w:after="0" w:line="276" w:lineRule="auto"/>
              <w:rPr/>
            </w:pPr>
            <w:r w:rsidDel="00000000" w:rsidR="00000000" w:rsidRPr="00000000">
              <w:rPr>
                <w:rFonts w:ascii="Arial" w:cs="Arial" w:eastAsia="Arial" w:hAnsi="Arial"/>
                <w:color w:val="666666"/>
                <w:sz w:val="20"/>
                <w:szCs w:val="20"/>
                <w:rtl w:val="0"/>
              </w:rPr>
              <w:t xml:space="preserve">became law</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9">
            <w:pPr>
              <w:spacing w:after="20" w:line="276" w:lineRule="auto"/>
              <w:rPr/>
            </w:pPr>
            <w:r w:rsidDel="00000000" w:rsidR="00000000" w:rsidRPr="00000000">
              <w:rPr>
                <w:rFonts w:ascii="Arial" w:cs="Arial" w:eastAsia="Arial" w:hAnsi="Arial"/>
                <w:b w:val="1"/>
                <w:bCs w:val="1"/>
                <w:color w:val="1a2d4f"/>
                <w:sz w:val="36"/>
                <w:szCs w:val="36"/>
                <w:rtl w:val="0"/>
              </w:rPr>
              <w:t xml:space="preserve">28</w:t>
            </w:r>
            <w:r w:rsidDel="00000000" w:rsidR="00000000" w:rsidRPr="00000000">
              <w:rPr>
                <w:rtl w:val="0"/>
              </w:rPr>
            </w:r>
          </w:p>
          <w:p w:rsidR="00000000" w:rsidDel="00000000" w:rsidP="00000000" w:rsidRDefault="00000000" w:rsidRPr="00000000" w14:paraId="0000000A">
            <w:pPr>
              <w:spacing w:after="0" w:line="276" w:lineRule="auto"/>
              <w:rPr/>
            </w:pPr>
            <w:r w:rsidDel="00000000" w:rsidR="00000000" w:rsidRPr="00000000">
              <w:rPr>
                <w:rFonts w:ascii="Arial" w:cs="Arial" w:eastAsia="Arial" w:hAnsi="Arial"/>
                <w:color w:val="666666"/>
                <w:sz w:val="20"/>
                <w:szCs w:val="20"/>
                <w:rtl w:val="0"/>
              </w:rPr>
              <w:t xml:space="preserve">core energy sections enacted inside the last three budget trailers (HB2)</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B">
            <w:pPr>
              <w:spacing w:after="20" w:line="276" w:lineRule="auto"/>
              <w:rPr/>
            </w:pPr>
            <w:r w:rsidDel="00000000" w:rsidR="00000000" w:rsidRPr="00000000">
              <w:rPr>
                <w:rFonts w:ascii="Arial" w:cs="Arial" w:eastAsia="Arial" w:hAnsi="Arial"/>
                <w:b w:val="1"/>
                <w:bCs w:val="1"/>
                <w:color w:val="1a2d4f"/>
                <w:sz w:val="28"/>
                <w:szCs w:val="28"/>
                <w:rtl w:val="0"/>
              </w:rPr>
              <w:t xml:space="preserve">1 of 5</w:t>
            </w:r>
            <w:r w:rsidDel="00000000" w:rsidR="00000000" w:rsidRPr="00000000">
              <w:rPr>
                <w:rtl w:val="0"/>
              </w:rPr>
            </w:r>
          </w:p>
          <w:p w:rsidR="00000000" w:rsidDel="00000000" w:rsidP="00000000" w:rsidRDefault="00000000" w:rsidRPr="00000000" w14:paraId="0000000C">
            <w:pPr>
              <w:spacing w:after="0" w:line="276" w:lineRule="auto"/>
              <w:rPr/>
            </w:pPr>
            <w:r w:rsidDel="00000000" w:rsidR="00000000" w:rsidRPr="00000000">
              <w:rPr>
                <w:rFonts w:ascii="Arial" w:cs="Arial" w:eastAsia="Arial" w:hAnsi="Arial"/>
                <w:color w:val="666666"/>
                <w:sz w:val="20"/>
                <w:szCs w:val="20"/>
                <w:rtl w:val="0"/>
              </w:rPr>
              <w:t xml:space="preserve">citizen proposals already substantially law — community power for cities and towns</w:t>
            </w:r>
            <w:r w:rsidDel="00000000" w:rsidR="00000000" w:rsidRPr="00000000">
              <w:rPr>
                <w:rtl w:val="0"/>
              </w:rPr>
            </w:r>
          </w:p>
        </w:tc>
      </w:tr>
    </w:tbl>
    <w:p>
      <w:pPr>
        <w:spacing w:after="40" w:line="276" w:lineRule="auto"/>
        <w:rPr/>
      </w:pPr>
    </w:p>
    <w:p>
      <w:pPr>
        <w:keepNext/>
        <w:spacing w:before="84" w:after="36" w:line="276" w:lineRule="auto"/>
        <w:rPr/>
      </w:pPr>
      <w:r>
        <w:rPr>
          <w:rFonts w:ascii="Arial" w:cs="Arial" w:eastAsia="Arial" w:hAnsi="Arial"/>
          <w:b w:val="1"/>
          <w:bCs w:val="1"/>
          <w:color w:val="c0392b"/>
          <w:sz w:val="25"/>
          <w:szCs w:val="25"/>
          <w:rtl w:val="0"/>
        </w:rPr>
        <w:t xml:space="preserve">ALSO IN THE BUDGET BILL (HB2)</w:t>
      </w:r>
    </w:p>
    <w:p>
      <w:pPr>
        <w:widowControl/>
        <w:spacing w:after="49" w:line="276" w:lineRule="auto"/>
        <w:rPr/>
      </w:pPr>
      <w:r>
        <w:rPr>
          <w:rFonts w:ascii="Arial" w:cs="Arial" w:eastAsia="Arial" w:hAnsi="Arial"/>
          <w:color w:val="444444"/>
          <w:sz w:val="20"/>
          <w:szCs w:val="20"/>
          <w:rtl w:val="0"/>
        </w:rPr>
        <w:t xml:space="preserve">The biggest energy-governance vote of this period was never taken on an energy bill. The 2021 trailer created the Department of Energy and moved most Public Utilities Commission staff and functions into it, rebuilt the PUC as a smaller full-time tribunal with a one-year revolving-door ban for commissioners, kept the Office of the Consumer Advocate — the ratepayers' lawyer — independent, made utilities pay for their own regulation through assessments recovered in rates, extended electric rate reduction bond authority to 2027, rewrote group-host net metering mechanics, moved the renewable energy fund, the RGGI efficiency fund, and the offshore wind office into the new department, and restructured the Site Evaluation Committee that approves large energy facilities. The 2023 trailer rewrote the utility assessment that funds the regulators, created the $100/$50 electric-vehicle registration surcharge, created the Regional Energy Advocacy Fund for ISO-New England and federal proceedings, funded offshore-wind fisheries work, and ordered a study of fuel-assistance eligibility cliffs. The 2025 trailer swept every uncommitted dollar of the renewable energy fund into the general fund and made the diversion permanent — the fund that pays solar rebates and low-income clean-energy grants. Votes on HB2 are on the whole trailer — never on a single section; the 2025 trailer passed the House by one vote, 184–183.</w:t>
      </w:r>
    </w:p>
    <w:p>
      <w:pPr>
        <w:keepNext/>
        <w:spacing w:before="84" w:after="36" w:line="276" w:lineRule="auto"/>
        <w:rPr/>
      </w:pPr>
      <w:r>
        <w:rPr>
          <w:rFonts w:ascii="Arial" w:cs="Arial" w:eastAsia="Arial" w:hAnsi="Arial"/>
          <w:b w:val="1"/>
          <w:bCs w:val="1"/>
          <w:color w:val="c0392b"/>
          <w:sz w:val="25"/>
          <w:szCs w:val="25"/>
          <w:rtl w:val="0"/>
        </w:rPr>
        <w:t xml:space="preserve">CLOSEST TO LAW: BILLS THAT PASSED BOTH CHAMBERS</w:t>
      </w:r>
    </w:p>
    <w:p>
      <w:pPr>
        <w:keepNext/>
        <w:spacing w:after="36" w:line="276" w:lineRule="auto"/>
        <w:rPr/>
      </w:pPr>
      <w:r>
        <w:rPr>
          <w:rFonts w:ascii="Arial" w:cs="Arial" w:eastAsia="Arial" w:hAnsi="Arial"/>
          <w:i w:val="1"/>
          <w:iCs w:val="1"/>
          <w:color w:val="666666"/>
          <w:sz w:val="20"/>
          <w:szCs w:val="20"/>
          <w:rtl w:val="0"/>
        </w:rPr>
        <w:t xml:space="preserve">These bills passed both houses; a veto or the last procedural step stopped them.</w:t>
      </w:r>
    </w:p>
    <w:p>
      <w:pPr>
        <w:keepNext/>
        <w:spacing w:before="70" w:after="30" w:line="276" w:lineRule="auto"/>
        <w:rPr/>
      </w:pPr>
      <w:r>
        <w:rPr>
          <w:rFonts w:ascii="Arial" w:cs="Arial" w:eastAsia="Arial" w:hAnsi="Arial"/>
          <w:b w:val="1"/>
          <w:bCs w:val="1"/>
          <w:color w:val="2e4a78"/>
          <w:sz w:val="24"/>
          <w:szCs w:val="24"/>
          <w:rtl w:val="0"/>
        </w:rPr>
        <w:t xml:space="preserve">Vetoed at the governor's desk</w:t>
      </w:r>
    </w:p>
    <w:p>
      <w:pPr>
        <w:widowControl/>
        <w:spacing w:after="49" w:line="276" w:lineRule="auto"/>
        <w:rPr/>
      </w:pPr>
      <w:r>
        <w:rPr>
          <w:rFonts w:ascii="Arial" w:cs="Arial" w:eastAsia="Arial" w:hAnsi="Arial"/>
          <w:color w:val="444444"/>
          <w:sz w:val="20"/>
          <w:szCs w:val="20"/>
          <w:rtl w:val="0"/>
        </w:rPr>
        <w:t xml:space="preserve">Seven energy bills were vetoed in this record, and no override succeeded. Four fell in 2020 alone, the year the expansion agenda peaked: </w:t>
      </w:r>
      <w:r>
        <w:rPr>
          <w:rFonts w:ascii="Arial" w:cs="Arial" w:eastAsia="Arial" w:hAnsi="Arial"/>
          <w:b w:val="1"/>
          <w:bCs w:val="1"/>
          <w:color w:val="1a2d4f"/>
          <w:sz w:val="20"/>
          <w:szCs w:val="20"/>
          <w:rtl w:val="0"/>
        </w:rPr>
        <w:t xml:space="preserve">the 5-megawatt net metering bill (SB159)</w:t>
      </w:r>
      <w:r>
        <w:rPr>
          <w:rFonts w:ascii="Arial" w:cs="Arial" w:eastAsia="Arial" w:hAnsi="Arial"/>
          <w:color w:val="444444"/>
          <w:sz w:val="20"/>
          <w:szCs w:val="20"/>
          <w:rtl w:val="0"/>
        </w:rPr>
        <w:t xml:space="preserve"> passed the House 227–128 and its override failed 207–130; </w:t>
      </w:r>
      <w:r>
        <w:rPr>
          <w:rFonts w:ascii="Arial" w:cs="Arial" w:eastAsia="Arial" w:hAnsi="Arial"/>
          <w:b w:val="1"/>
          <w:bCs w:val="1"/>
          <w:color w:val="1a2d4f"/>
          <w:sz w:val="20"/>
          <w:szCs w:val="20"/>
          <w:rtl w:val="0"/>
        </w:rPr>
        <w:t xml:space="preserve">the customer-generator capacity bill (HB466)</w:t>
      </w:r>
      <w:r>
        <w:rPr>
          <w:rFonts w:ascii="Arial" w:cs="Arial" w:eastAsia="Arial" w:hAnsi="Arial"/>
          <w:color w:val="444444"/>
          <w:sz w:val="20"/>
          <w:szCs w:val="20"/>
          <w:rtl w:val="0"/>
        </w:rPr>
        <w:t xml:space="preserve"> followed, its override failing 199–139; </w:t>
      </w:r>
      <w:r>
        <w:rPr>
          <w:rFonts w:ascii="Arial" w:cs="Arial" w:eastAsia="Arial" w:hAnsi="Arial"/>
          <w:b w:val="1"/>
          <w:bCs w:val="1"/>
          <w:color w:val="1a2d4f"/>
          <w:sz w:val="20"/>
          <w:szCs w:val="20"/>
          <w:rtl w:val="0"/>
        </w:rPr>
        <w:t xml:space="preserve">the renewable portfolio standards raise (SB124)</w:t>
      </w:r>
      <w:r>
        <w:rPr>
          <w:rFonts w:ascii="Arial" w:cs="Arial" w:eastAsia="Arial" w:hAnsi="Arial"/>
          <w:color w:val="444444"/>
          <w:sz w:val="20"/>
          <w:szCs w:val="20"/>
          <w:rtl w:val="0"/>
        </w:rPr>
        <w:t xml:space="preserve"> passed the House 214–141 and the override died in the Senate 14–10; and </w:t>
      </w:r>
      <w:r>
        <w:rPr>
          <w:rFonts w:ascii="Arial" w:cs="Arial" w:eastAsia="Arial" w:hAnsi="Arial"/>
          <w:b w:val="1"/>
          <w:bCs w:val="1"/>
          <w:color w:val="1a2d4f"/>
          <w:sz w:val="20"/>
          <w:szCs w:val="20"/>
          <w:rtl w:val="0"/>
        </w:rPr>
        <w:t xml:space="preserve">the efficiency-fund bill (SB122)</w:t>
      </w:r>
      <w:r>
        <w:rPr>
          <w:rFonts w:ascii="Arial" w:cs="Arial" w:eastAsia="Arial" w:hAnsi="Arial"/>
          <w:color w:val="444444"/>
          <w:sz w:val="20"/>
          <w:szCs w:val="20"/>
          <w:rtl w:val="0"/>
        </w:rPr>
        <w:t xml:space="preserve">, which passed the House 212–140, fell on the same 14–10 Senate override vote. </w:t>
      </w:r>
      <w:r>
        <w:rPr>
          <w:rFonts w:ascii="Arial" w:cs="Arial" w:eastAsia="Arial" w:hAnsi="Arial"/>
          <w:b w:val="1"/>
          <w:bCs w:val="1"/>
          <w:color w:val="1a2d4f"/>
          <w:sz w:val="20"/>
          <w:szCs w:val="20"/>
          <w:rtl w:val="0"/>
        </w:rPr>
        <w:t xml:space="preserve">The Burgess BioPower rescue — HB142 (2023)</w:t>
      </w:r>
      <w:r>
        <w:rPr>
          <w:rFonts w:ascii="Arial" w:cs="Arial" w:eastAsia="Arial" w:hAnsi="Arial"/>
          <w:color w:val="444444"/>
          <w:sz w:val="20"/>
          <w:szCs w:val="20"/>
          <w:rtl w:val="0"/>
        </w:rPr>
        <w:t xml:space="preserve"> passed the House 269–109 and the override failed 194–159, closing the biomass plant's subsidy fight. </w:t>
      </w:r>
      <w:r>
        <w:rPr>
          <w:rFonts w:ascii="Arial" w:cs="Arial" w:eastAsia="Arial" w:hAnsi="Arial"/>
          <w:b w:val="1"/>
          <w:bCs w:val="1"/>
          <w:color w:val="1a2d4f"/>
          <w:sz w:val="20"/>
          <w:szCs w:val="20"/>
          <w:rtl w:val="0"/>
        </w:rPr>
        <w:t xml:space="preserve">The net-metering participation bill (SB79, 2023)</w:t>
      </w:r>
      <w:r>
        <w:rPr>
          <w:rFonts w:ascii="Arial" w:cs="Arial" w:eastAsia="Arial" w:hAnsi="Arial"/>
          <w:color w:val="444444"/>
          <w:sz w:val="20"/>
          <w:szCs w:val="20"/>
          <w:rtl w:val="0"/>
        </w:rPr>
        <w:t xml:space="preserve"> passed the House 194–179 and its override was abandoned 0–23. In 2026, </w:t>
      </w:r>
      <w:r>
        <w:rPr>
          <w:rFonts w:ascii="Arial" w:cs="Arial" w:eastAsia="Arial" w:hAnsi="Arial"/>
          <w:b w:val="1"/>
          <w:bCs w:val="1"/>
          <w:color w:val="1a2d4f"/>
          <w:sz w:val="20"/>
          <w:szCs w:val="20"/>
          <w:rtl w:val="0"/>
        </w:rPr>
        <w:t xml:space="preserve">the advanced-nuclear utility-ownership bill (HB221)</w:t>
      </w:r>
      <w:r>
        <w:rPr>
          <w:rFonts w:ascii="Arial" w:cs="Arial" w:eastAsia="Arial" w:hAnsi="Arial"/>
          <w:color w:val="444444"/>
          <w:sz w:val="20"/>
          <w:szCs w:val="20"/>
          <w:rtl w:val="0"/>
        </w:rPr>
        <w:t xml:space="preserve"> was vetoed with no override action recorded as of collection — even as two broader utility-generation laws passed the same session.</w:t>
      </w:r>
    </w:p>
    <w:p>
      <w:pPr>
        <w:keepNext/>
        <w:spacing w:before="70" w:after="30" w:line="276" w:lineRule="auto"/>
        <w:rPr/>
      </w:pPr>
      <w:r>
        <w:rPr>
          <w:rFonts w:ascii="Arial" w:cs="Arial" w:eastAsia="Arial" w:hAnsi="Arial"/>
          <w:b w:val="1"/>
          <w:bCs w:val="1"/>
          <w:color w:val="2e4a78"/>
          <w:sz w:val="24"/>
          <w:szCs w:val="24"/>
          <w:rtl w:val="0"/>
        </w:rPr>
        <w:t xml:space="preserve">Passed both chambers, then died between them</w:t>
      </w:r>
    </w:p>
    <w:p>
      <w:pPr>
        <w:widowControl/>
        <w:spacing w:after="49" w:line="276" w:lineRule="auto"/>
        <w:rPr/>
      </w:pPr>
      <w:r>
        <w:rPr>
          <w:rFonts w:ascii="Arial" w:cs="Arial" w:eastAsia="Arial" w:hAnsi="Arial"/>
          <w:b w:val="1"/>
          <w:bCs w:val="1"/>
          <w:color w:val="1a2d4f"/>
          <w:sz w:val="20"/>
          <w:szCs w:val="20"/>
          <w:rtl w:val="0"/>
        </w:rPr>
        <w:t xml:space="preserve">The clean-energy districts bill — HB342 (2025)</w:t>
      </w:r>
      <w:r>
        <w:rPr>
          <w:rFonts w:ascii="Arial" w:cs="Arial" w:eastAsia="Arial" w:hAnsi="Arial"/>
          <w:color w:val="444444"/>
          <w:sz w:val="20"/>
          <w:szCs w:val="20"/>
          <w:rtl w:val="0"/>
        </w:rPr>
        <w:t xml:space="preserve"> passed both chambers in different forms, failed concurrence 154–195, and died on a House non-concur — SB440 (2026) then carried the same municipal C-PACE policy into law. </w:t>
      </w:r>
      <w:r>
        <w:rPr>
          <w:rFonts w:ascii="Arial" w:cs="Arial" w:eastAsia="Arial" w:hAnsi="Arial"/>
          <w:b w:val="1"/>
          <w:bCs w:val="1"/>
          <w:color w:val="1a2d4f"/>
          <w:sz w:val="20"/>
          <w:szCs w:val="20"/>
          <w:rtl w:val="0"/>
        </w:rPr>
        <w:t xml:space="preserve">The advanced-nuclear bill's first try (HB710, 2025)</w:t>
      </w:r>
      <w:r>
        <w:rPr>
          <w:rFonts w:ascii="Arial" w:cs="Arial" w:eastAsia="Arial" w:hAnsi="Arial"/>
          <w:color w:val="444444"/>
          <w:sz w:val="20"/>
          <w:szCs w:val="20"/>
          <w:rtl w:val="0"/>
        </w:rPr>
        <w:t xml:space="preserve"> died between the chambers a year before its successor was vetoed. </w:t>
      </w:r>
      <w:r>
        <w:rPr>
          <w:rFonts w:ascii="Arial" w:cs="Arial" w:eastAsia="Arial" w:hAnsi="Arial"/>
          <w:b w:val="1"/>
          <w:bCs w:val="1"/>
          <w:color w:val="1a2d4f"/>
          <w:sz w:val="20"/>
          <w:szCs w:val="20"/>
          <w:rtl w:val="0"/>
        </w:rPr>
        <w:t xml:space="preserve">The renewable-energy-fund appropriation (SB78, 2021)</w:t>
      </w:r>
      <w:r>
        <w:rPr>
          <w:rFonts w:ascii="Arial" w:cs="Arial" w:eastAsia="Arial" w:hAnsi="Arial"/>
          <w:color w:val="444444"/>
          <w:sz w:val="20"/>
          <w:szCs w:val="20"/>
          <w:rtl w:val="0"/>
        </w:rPr>
        <w:t xml:space="preserve"> and </w:t>
      </w:r>
      <w:r>
        <w:rPr>
          <w:rFonts w:ascii="Arial" w:cs="Arial" w:eastAsia="Arial" w:hAnsi="Arial"/>
          <w:b w:val="1"/>
          <w:bCs w:val="1"/>
          <w:color w:val="1a2d4f"/>
          <w:sz w:val="20"/>
          <w:szCs w:val="20"/>
          <w:rtl w:val="0"/>
        </w:rPr>
        <w:t xml:space="preserve">the Site Evaluation Committee enforcement package with its hydro net-metering rider (HB624, 2022)</w:t>
      </w:r>
      <w:r>
        <w:rPr>
          <w:rFonts w:ascii="Arial" w:cs="Arial" w:eastAsia="Arial" w:hAnsi="Arial"/>
          <w:color w:val="444444"/>
          <w:sz w:val="20"/>
          <w:szCs w:val="20"/>
          <w:rtl w:val="0"/>
        </w:rPr>
        <w:t xml:space="preserve"> died the same way.</w:t>
      </w:r>
    </w:p>
    <w:p>
      <w:pPr>
        <w:keepNext/>
        <w:spacing w:before="84" w:after="36" w:line="276" w:lineRule="auto"/>
        <w:rPr/>
      </w:pPr>
      <w:r>
        <w:rPr>
          <w:rFonts w:ascii="Arial" w:cs="Arial" w:eastAsia="Arial" w:hAnsi="Arial"/>
          <w:b w:val="1"/>
          <w:bCs w:val="1"/>
          <w:color w:val="c0392b"/>
          <w:sz w:val="25"/>
          <w:szCs w:val="25"/>
          <w:rtl w:val="0"/>
        </w:rPr>
        <w:t xml:space="preserve">PROVEN SUPPORT: CLEARED A CHAMBER OR A COMMITTEE</w:t>
      </w:r>
    </w:p>
    <w:p>
      <w:pPr>
        <w:keepNext/>
        <w:spacing w:after="36" w:line="276" w:lineRule="auto"/>
        <w:rPr/>
      </w:pPr>
      <w:r>
        <w:rPr>
          <w:rFonts w:ascii="Arial" w:cs="Arial" w:eastAsia="Arial" w:hAnsi="Arial"/>
          <w:i w:val="1"/>
          <w:iCs w:val="1"/>
          <w:color w:val="666666"/>
          <w:sz w:val="20"/>
          <w:szCs w:val="20"/>
          <w:rtl w:val="0"/>
        </w:rPr>
        <w:t xml:space="preserve">Each bill won a floor majority — several near-unanimous — before stalling.</w:t>
      </w:r>
    </w:p>
    <w:p>
      <w:pPr>
        <w:widowControl/>
        <w:spacing w:after="49" w:line="276" w:lineRule="auto"/>
        <w:rPr/>
      </w:pPr>
      <w:r>
        <w:rPr>
          <w:rFonts w:ascii="Arial" w:cs="Arial" w:eastAsia="Arial" w:hAnsi="Arial"/>
          <w:b w:val="1"/>
          <w:bCs w:val="1"/>
          <w:color w:val="1a2d4f"/>
          <w:sz w:val="20"/>
          <w:szCs w:val="20"/>
          <w:rtl w:val="0"/>
        </w:rPr>
        <w:t xml:space="preserve">The municipal host expansion — SB109 (2021).</w:t>
      </w:r>
      <w:r>
        <w:rPr>
          <w:rFonts w:ascii="Arial" w:cs="Arial" w:eastAsia="Arial" w:hAnsi="Arial"/>
          <w:color w:val="444444"/>
          <w:sz w:val="20"/>
          <w:szCs w:val="20"/>
          <w:rtl w:val="0"/>
        </w:rPr>
        <w:t xml:space="preserve"> Passed its Senate votes 24–0 — unanimous — and was then laid on the table in the Senate, where it died.</w:t>
      </w:r>
    </w:p>
    <w:p>
      <w:pPr>
        <w:widowControl/>
        <w:spacing w:after="49" w:line="276" w:lineRule="auto"/>
        <w:rPr/>
      </w:pPr>
      <w:r>
        <w:rPr>
          <w:rFonts w:ascii="Arial" w:cs="Arial" w:eastAsia="Arial" w:hAnsi="Arial"/>
          <w:b w:val="1"/>
          <w:bCs w:val="1"/>
          <w:color w:val="1a2d4f"/>
          <w:sz w:val="20"/>
          <w:szCs w:val="20"/>
          <w:rtl w:val="0"/>
        </w:rPr>
        <w:t xml:space="preserve">The system benefits charge bill — HB351 (2021).</w:t>
      </w:r>
      <w:r>
        <w:rPr>
          <w:rFonts w:ascii="Arial" w:cs="Arial" w:eastAsia="Arial" w:hAnsi="Arial"/>
          <w:color w:val="444444"/>
          <w:sz w:val="20"/>
          <w:szCs w:val="20"/>
          <w:rtl w:val="0"/>
        </w:rPr>
        <w:t xml:space="preserve"> Passed the House 198–179 and was killed on the Senate floor, a year before HB549 settled the efficiency-funding fight 343–0.</w:t>
      </w:r>
    </w:p>
    <w:p>
      <w:pPr>
        <w:widowControl/>
        <w:spacing w:after="49" w:line="276" w:lineRule="auto"/>
        <w:rPr/>
      </w:pPr>
      <w:r>
        <w:rPr>
          <w:rFonts w:ascii="Arial" w:cs="Arial" w:eastAsia="Arial" w:hAnsi="Arial"/>
          <w:b w:val="1"/>
          <w:bCs w:val="1"/>
          <w:color w:val="1a2d4f"/>
          <w:sz w:val="20"/>
          <w:szCs w:val="20"/>
          <w:rtl w:val="0"/>
        </w:rPr>
        <w:t xml:space="preserve">The net-metering purchase bill — HB1218 (2020).</w:t>
      </w:r>
      <w:r>
        <w:rPr>
          <w:rFonts w:ascii="Arial" w:cs="Arial" w:eastAsia="Arial" w:hAnsi="Arial"/>
          <w:color w:val="444444"/>
          <w:sz w:val="20"/>
          <w:szCs w:val="20"/>
          <w:rtl w:val="0"/>
        </w:rPr>
        <w:t xml:space="preserve"> Passed the House 215–125 and died when the COVID-shortened session ended.</w:t>
      </w:r>
    </w:p>
    <w:p>
      <w:pPr>
        <w:widowControl/>
        <w:spacing w:after="49" w:line="276" w:lineRule="auto"/>
        <w:rPr/>
      </w:pPr>
      <w:r>
        <w:rPr>
          <w:rFonts w:ascii="Arial" w:cs="Arial" w:eastAsia="Arial" w:hAnsi="Arial"/>
          <w:b w:val="1"/>
          <w:bCs w:val="1"/>
          <w:color w:val="1a2d4f"/>
          <w:sz w:val="20"/>
          <w:szCs w:val="20"/>
          <w:rtl w:val="0"/>
        </w:rPr>
        <w:t xml:space="preserve">The RPS study — HB1542 (2026)</w:t>
      </w:r>
      <w:r>
        <w:rPr>
          <w:rFonts w:ascii="Arial" w:cs="Arial" w:eastAsia="Arial" w:hAnsi="Arial"/>
          <w:color w:val="444444"/>
          <w:sz w:val="20"/>
          <w:szCs w:val="20"/>
          <w:rtl w:val="0"/>
        </w:rPr>
        <w:t xml:space="preserve"> passed one House vote 189–157 and died without a final floor action. </w:t>
      </w:r>
      <w:r>
        <w:rPr>
          <w:rFonts w:ascii="Arial" w:cs="Arial" w:eastAsia="Arial" w:hAnsi="Arial"/>
          <w:b w:val="1"/>
          <w:bCs w:val="1"/>
          <w:color w:val="1a2d4f"/>
          <w:sz w:val="20"/>
          <w:szCs w:val="20"/>
          <w:rtl w:val="0"/>
        </w:rPr>
        <w:t xml:space="preserve">The RPS phase-out — HB219 (2026)</w:t>
      </w:r>
      <w:r>
        <w:rPr>
          <w:rFonts w:ascii="Arial" w:cs="Arial" w:eastAsia="Arial" w:hAnsi="Arial"/>
          <w:color w:val="444444"/>
          <w:sz w:val="20"/>
          <w:szCs w:val="20"/>
          <w:rtl w:val="0"/>
        </w:rPr>
        <w:t xml:space="preserve"> passed the House 175–152 and was sent to interim study by the Senate. </w:t>
      </w:r>
      <w:r>
        <w:rPr>
          <w:rFonts w:ascii="Arial" w:cs="Arial" w:eastAsia="Arial" w:hAnsi="Arial"/>
          <w:b w:val="1"/>
          <w:bCs w:val="1"/>
          <w:color w:val="1a2d4f"/>
          <w:sz w:val="20"/>
          <w:szCs w:val="20"/>
          <w:rtl w:val="0"/>
        </w:rPr>
        <w:t xml:space="preserve">The biomass-worker assistance bill (SB603, 2020)</w:t>
      </w:r>
      <w:r>
        <w:rPr>
          <w:rFonts w:ascii="Arial" w:cs="Arial" w:eastAsia="Arial" w:hAnsi="Arial"/>
          <w:color w:val="444444"/>
          <w:sz w:val="20"/>
          <w:szCs w:val="20"/>
          <w:rtl w:val="0"/>
        </w:rPr>
        <w:t xml:space="preserve"> passed the Senate 13–11 and died on the House table. </w:t>
      </w:r>
      <w:r>
        <w:rPr>
          <w:rFonts w:ascii="Arial" w:cs="Arial" w:eastAsia="Arial" w:hAnsi="Arial"/>
          <w:b w:val="1"/>
          <w:bCs w:val="1"/>
          <w:color w:val="1a2d4f"/>
          <w:sz w:val="20"/>
          <w:szCs w:val="20"/>
          <w:rtl w:val="0"/>
        </w:rPr>
        <w:t xml:space="preserve">The RGGI expansion (HB1496, 2020)</w:t>
      </w:r>
      <w:r>
        <w:rPr>
          <w:rFonts w:ascii="Arial" w:cs="Arial" w:eastAsia="Arial" w:hAnsi="Arial"/>
          <w:color w:val="444444"/>
          <w:sz w:val="20"/>
          <w:szCs w:val="20"/>
          <w:rtl w:val="0"/>
        </w:rPr>
        <w:t xml:space="preserve"> passed the House 180–101 and died on the Senate table with the rest of that year's climate agenda.</w:t>
      </w:r>
    </w:p>
    <w:p>
      <w:pPr>
        <w:keepNext/>
        <w:spacing w:before="84" w:after="36" w:line="276" w:lineRule="auto"/>
        <w:rPr/>
      </w:pPr>
      <w:r>
        <w:rPr>
          <w:rFonts w:ascii="Arial" w:cs="Arial" w:eastAsia="Arial" w:hAnsi="Arial"/>
          <w:b w:val="1"/>
          <w:bCs w:val="1"/>
          <w:color w:val="c0392b"/>
          <w:sz w:val="25"/>
          <w:szCs w:val="25"/>
          <w:rtl w:val="0"/>
        </w:rPr>
        <w:t xml:space="preserve">ALREADY LAW — AND THE OPENINGS AROUND IT</w:t>
      </w:r>
    </w:p>
    <w:p>
      <w:pPr>
        <w:keepNext/>
        <w:spacing w:after="36" w:line="276" w:lineRule="auto"/>
        <w:rPr/>
      </w:pPr>
      <w:r>
        <w:rPr>
          <w:rFonts w:ascii="Arial" w:cs="Arial" w:eastAsia="Arial" w:hAnsi="Arial"/>
          <w:i w:val="1"/>
          <w:iCs w:val="1"/>
          <w:color w:val="666666"/>
          <w:sz w:val="20"/>
          <w:szCs w:val="20"/>
          <w:rtl w:val="0"/>
        </w:rPr>
        <w:t xml:space="preserve">New law settles some ground — and shows where the Legislature keeps building.</w:t>
      </w:r>
    </w:p>
    <w:p>
      <w:pPr>
        <w:keepNext/>
        <w:spacing w:before="70" w:after="30" w:line="276" w:lineRule="auto"/>
        <w:rPr/>
      </w:pPr>
      <w:r>
        <w:rPr>
          <w:rFonts w:ascii="Arial" w:cs="Arial" w:eastAsia="Arial" w:hAnsi="Arial"/>
          <w:b w:val="1"/>
          <w:bCs w:val="1"/>
          <w:color w:val="2e4a78"/>
          <w:sz w:val="24"/>
          <w:szCs w:val="24"/>
          <w:rtl w:val="0"/>
        </w:rPr>
        <w:t xml:space="preserve">New laws from the 2025–2026 biennium</w:t>
      </w:r>
    </w:p>
    <w:p>
      <w:pPr>
        <w:widowControl/>
        <w:spacing w:after="49" w:line="276" w:lineRule="auto"/>
        <w:rPr/>
      </w:pPr>
      <w:r>
        <w:rPr>
          <w:rFonts w:ascii="Arial" w:cs="Arial" w:eastAsia="Arial" w:hAnsi="Arial"/>
          <w:color w:val="444444"/>
          <w:sz w:val="20"/>
          <w:szCs w:val="20"/>
          <w:rtl w:val="0"/>
        </w:rPr>
        <w:t xml:space="preserve">Thirty-eight energy laws in two years. Rates and reliability led: default-service reconciliation reform (HB1733), storm-cost securitization bonds (HB1539), the residential ratepayers advisory board (HB610), transformer-vulnerability assessments (HB1723), and off-grid electricity providers (HB672). The local-generation machinery kept growing: net-metering terms clarified (SB232), municipal terms extended (SB538), plug-in solar legalized (SB540), storage joined net metering (HB1718), aggregation plans refined (SB590), and customers inadvertently enrolled in community power got protection (HB1742). The sourcing pivot became law: utility ownership of natural gas and nuclear generation (HB1775, House 198–153), utility-owned generation generally (SB591), RGGI ratepayer-benefit redirection with nuclear procurement options (HB1738), and the offshore wind office's conversion into the office of energy innovation (HB682, House 206–163). The state also standardized utility property taxes and SWEPT on generating facilities (HB696), ordered the ISO-New England withdrawal study (HB690, House 200–155), moved the Electric Assistance Program to the Department of Energy (SB236), enabled C-PACER financing (SB4, Senate 23–0) and municipal clean-energy districts (SB440), protected heating-oil and propane customers' contracts (HB1262), required removal of long-unused buried heating-oil tanks (HB1620), set weight-based EV registration fees (HB1594), directed port electrification and microgrid development (SB589) — and repealed the never-launched multi-use energy data platform (HB723, Chapter 28).</w:t>
      </w:r>
    </w:p>
    <w:p>
      <w:pPr>
        <w:keepNext/>
        <w:spacing w:before="70" w:after="30" w:line="276" w:lineRule="auto"/>
        <w:rPr/>
      </w:pPr>
      <w:r>
        <w:rPr>
          <w:rFonts w:ascii="Arial" w:cs="Arial" w:eastAsia="Arial" w:hAnsi="Arial"/>
          <w:b w:val="1"/>
          <w:bCs w:val="1"/>
          <w:color w:val="2e4a78"/>
          <w:sz w:val="24"/>
          <w:szCs w:val="24"/>
          <w:rtl w:val="0"/>
        </w:rPr>
        <w:t xml:space="preserve">Where lawmakers appear willing to go further</w:t>
      </w:r>
    </w:p>
    <w:p>
      <w:pPr>
        <w:widowControl/>
        <w:spacing w:after="49" w:line="276" w:lineRule="auto"/>
        <w:rPr/>
      </w:pPr>
      <w:r>
        <w:rPr>
          <w:rFonts w:ascii="Arial" w:cs="Arial" w:eastAsia="Arial" w:hAnsi="Arial"/>
          <w:color w:val="444444"/>
          <w:sz w:val="20"/>
          <w:szCs w:val="20"/>
          <w:rtl w:val="0"/>
        </w:rPr>
        <w:t xml:space="preserve">Community power is the clearest opening: six laws in six years, each extending the last, with the aggregation-protection law (HB1742) passing in 2026 without controversy. The nuclear-and-utility-generation track passed twice in the session where its narrower version was vetoed — the direction survived the veto. Grid planning keeps passing (grid modernization, distribution planning, the microgrid study, port microgrids), and SB597 — tying rate increases to inflation-adjusted thresholds with performance metrics — sits in interim study as the rate-accountability question's live vehicle, alongside the efficiency-authority study (HB1748) and the fixed-versus-usage cost question the 2026 bills raised.</w:t>
      </w:r>
    </w:p>
    <w:p>
      <w:pPr>
        <w:keepNext/>
        <w:spacing w:before="84" w:after="36" w:line="276" w:lineRule="auto"/>
        <w:rPr/>
      </w:pPr>
      <w:r>
        <w:rPr>
          <w:rFonts w:ascii="Arial" w:cs="Arial" w:eastAsia="Arial" w:hAnsi="Arial"/>
          <w:b w:val="1"/>
          <w:bCs w:val="1"/>
          <w:color w:val="c0392b"/>
          <w:sz w:val="25"/>
          <w:szCs w:val="25"/>
          <w:rtl w:val="0"/>
        </w:rPr>
        <w:t xml:space="preserve">LITTLE TRACTION YET: STOPPED EARLY</w:t>
      </w:r>
    </w:p>
    <w:p>
      <w:pPr>
        <w:keepNext/>
        <w:spacing w:after="36" w:line="276" w:lineRule="auto"/>
        <w:rPr/>
      </w:pPr>
      <w:r>
        <w:rPr>
          <w:rFonts w:ascii="Arial" w:cs="Arial" w:eastAsia="Arial" w:hAnsi="Arial"/>
          <w:i w:val="1"/>
          <w:iCs w:val="1"/>
          <w:color w:val="666666"/>
          <w:sz w:val="20"/>
          <w:szCs w:val="20"/>
          <w:rtl w:val="0"/>
        </w:rPr>
        <w:t xml:space="preserve">All five citizen proposals have reached the Legislature in some form — the untraveled ground is where their harder versions keep stopping, mostly on the House table and floor.</w:t>
      </w:r>
    </w:p>
    <w:p>
      <w:pPr>
        <w:widowControl/>
        <w:spacing w:after="49" w:line="276" w:lineRule="auto"/>
        <w:rPr/>
      </w:pPr>
      <w:r>
        <w:rPr>
          <w:rFonts w:ascii="Arial" w:cs="Arial" w:eastAsia="Arial" w:hAnsi="Arial"/>
          <w:b w:val="1"/>
          <w:bCs w:val="1"/>
          <w:color w:val="1a2d4f"/>
          <w:sz w:val="20"/>
          <w:szCs w:val="20"/>
          <w:rtl w:val="0"/>
        </w:rPr>
        <w:t xml:space="preserve">Time-of-use rates.</w:t>
      </w:r>
      <w:r>
        <w:rPr>
          <w:rFonts w:ascii="Arial" w:cs="Arial" w:eastAsia="Arial" w:hAnsi="Arial"/>
          <w:color w:val="444444"/>
          <w:sz w:val="20"/>
          <w:szCs w:val="20"/>
          <w:rtl w:val="0"/>
        </w:rPr>
        <w:t xml:space="preserve"> The direct vehicle — HB674 (2025), with non-wire alternatives and multi-year rate settings — died on the House table; the advanced-meters companion (HB692) died with it; the smart-meter gateway bills died twice (HB631, killed 192–180 in 2024); and the energy data platform that variable pricing depends on was repealed outright (HB723, 2026).</w:t>
      </w:r>
    </w:p>
    <w:p>
      <w:pPr>
        <w:widowControl/>
        <w:spacing w:after="49" w:line="276" w:lineRule="auto"/>
        <w:rPr/>
      </w:pPr>
      <w:r>
        <w:rPr>
          <w:rFonts w:ascii="Arial" w:cs="Arial" w:eastAsia="Arial" w:hAnsi="Arial"/>
          <w:b w:val="1"/>
          <w:bCs w:val="1"/>
          <w:color w:val="1a2d4f"/>
          <w:sz w:val="20"/>
          <w:szCs w:val="20"/>
          <w:rtl w:val="0"/>
        </w:rPr>
        <w:t xml:space="preserve">Efficiency expansion.</w:t>
      </w:r>
      <w:r>
        <w:rPr>
          <w:rFonts w:ascii="Arial" w:cs="Arial" w:eastAsia="Arial" w:hAnsi="Arial"/>
          <w:color w:val="444444"/>
          <w:sz w:val="20"/>
          <w:szCs w:val="20"/>
          <w:rtl w:val="0"/>
        </w:rPr>
        <w:t xml:space="preserve"> Every weatherization study stalled (SB269, 2022, interim study 182–152; HB1230, 2024; HB599, 2025); the consumption-reduction goals died in four straight sessions; the building-code updates died (HB96, 2025, tabled 199–135; HB1180, 2026); and the efficiency-and-resource-development authority sits in interim study (HB1748, 2026).</w:t>
      </w:r>
    </w:p>
    <w:p>
      <w:pPr>
        <w:widowControl/>
        <w:spacing w:after="49" w:line="276" w:lineRule="auto"/>
        <w:rPr/>
      </w:pPr>
      <w:r>
        <w:rPr>
          <w:rFonts w:ascii="Arial" w:cs="Arial" w:eastAsia="Arial" w:hAnsi="Arial"/>
          <w:b w:val="1"/>
          <w:bCs w:val="1"/>
          <w:color w:val="1a2d4f"/>
          <w:sz w:val="20"/>
          <w:szCs w:val="20"/>
          <w:rtl w:val="0"/>
        </w:rPr>
        <w:t xml:space="preserve">Utility accountability.</w:t>
      </w:r>
      <w:r>
        <w:rPr>
          <w:rFonts w:ascii="Arial" w:cs="Arial" w:eastAsia="Arial" w:hAnsi="Arial"/>
          <w:color w:val="444444"/>
          <w:sz w:val="20"/>
          <w:szCs w:val="20"/>
          <w:rtl w:val="0"/>
        </w:rPr>
        <w:t xml:space="preserve"> Electing PUC commissioners (CACR30), retail-charge transparency (HB1724), cost-allocation reform (HB1745), the Eversource market-share bill (HB633, 2023), and performance-incentive mechanisms (SB499, 2020; SB320, 2024) all died or sit in study.</w:t>
      </w:r>
    </w:p>
    <w:p>
      <w:pPr>
        <w:widowControl/>
        <w:spacing w:after="49" w:line="276" w:lineRule="auto"/>
        <w:rPr/>
      </w:pPr>
      <w:r>
        <w:rPr>
          <w:rFonts w:ascii="Arial" w:cs="Arial" w:eastAsia="Arial" w:hAnsi="Arial"/>
          <w:b w:val="1"/>
          <w:bCs w:val="1"/>
          <w:color w:val="1a2d4f"/>
          <w:sz w:val="20"/>
          <w:szCs w:val="20"/>
          <w:rtl w:val="0"/>
        </w:rPr>
        <w:t xml:space="preserve">Climate and carbon.</w:t>
      </w:r>
      <w:r>
        <w:rPr>
          <w:rFonts w:ascii="Arial" w:cs="Arial" w:eastAsia="Arial" w:hAnsi="Arial"/>
          <w:color w:val="444444"/>
          <w:sz w:val="20"/>
          <w:szCs w:val="20"/>
          <w:rtl w:val="0"/>
        </w:rPr>
        <w:t xml:space="preserve"> The climate action plans died in every form from 2020 through 2023; carbon pricing died five ways; the House adopted HR17 (2022, 178–159) opposing all carbon taxes; and the RGGI-fund bills died in both directions (HB524, 2023, failing 181–186) until HB1738 redirected the money in 2026.</w:t>
      </w:r>
    </w:p>
    <w:p>
      <w:pPr>
        <w:widowControl/>
        <w:spacing w:after="49" w:line="276" w:lineRule="auto"/>
        <w:rPr/>
      </w:pPr>
      <w:r>
        <w:rPr>
          <w:rFonts w:ascii="Arial" w:cs="Arial" w:eastAsia="Arial" w:hAnsi="Arial"/>
          <w:b w:val="1"/>
          <w:bCs w:val="1"/>
          <w:color w:val="1a2d4f"/>
          <w:sz w:val="20"/>
          <w:szCs w:val="20"/>
          <w:rtl w:val="0"/>
        </w:rPr>
        <w:t xml:space="preserve">EV infrastructure money.</w:t>
      </w:r>
      <w:r>
        <w:rPr>
          <w:rFonts w:ascii="Arial" w:cs="Arial" w:eastAsia="Arial" w:hAnsi="Arial"/>
          <w:color w:val="444444"/>
          <w:sz w:val="20"/>
          <w:szCs w:val="20"/>
          <w:rtl w:val="0"/>
        </w:rPr>
        <w:t xml:space="preserve"> The EV and infrastructure fund (SB447, 2022), charging-station funding (SB272, 2025, killed 195–163), state-building charging (HB606), and curbside charging (SB628, interim study) all stopped; what passed is regulation (SB52, 2023) and fees (HB1594, 2026).</w:t>
      </w:r>
    </w:p>
    <w:p>
      <w:pPr>
        <w:keepNext/>
        <w:spacing w:before="84" w:after="36" w:line="276" w:lineRule="auto"/>
        <w:rPr/>
      </w:pPr>
      <w:r>
        <w:rPr>
          <w:rFonts w:ascii="Arial" w:cs="Arial" w:eastAsia="Arial" w:hAnsi="Arial"/>
          <w:b w:val="1"/>
          <w:bCs w:val="1"/>
          <w:color w:val="c0392b"/>
          <w:sz w:val="25"/>
          <w:szCs w:val="25"/>
          <w:rtl w:val="0"/>
        </w:rPr>
        <w:t xml:space="preserve">WHERE THERE IS MOVEMENT — AND WHERE THERE IS NONE</w:t>
      </w:r>
    </w:p>
    <w:p>
      <w:pPr>
        <w:widowControl/>
        <w:spacing w:after="49" w:line="276" w:lineRule="auto"/>
        <w:rPr/>
      </w:pPr>
      <w:r>
        <w:rPr>
          <w:rFonts w:ascii="Arial" w:cs="Arial" w:eastAsia="Arial" w:hAnsi="Arial"/>
          <w:b w:val="1"/>
          <w:bCs w:val="1"/>
          <w:color w:val="1a2d4f"/>
          <w:sz w:val="20"/>
          <w:szCs w:val="20"/>
          <w:rtl w:val="0"/>
        </w:rPr>
        <w:t xml:space="preserve">Moving:</w:t>
      </w:r>
      <w:r>
        <w:rPr>
          <w:rFonts w:ascii="Arial" w:cs="Arial" w:eastAsia="Arial" w:hAnsi="Arial"/>
          <w:color w:val="444444"/>
          <w:sz w:val="20"/>
          <w:szCs w:val="20"/>
          <w:rtl w:val="0"/>
        </w:rPr>
        <w:t xml:space="preserve"> community power and local generation (19 of its 62 policy bills became law — the record's biggest theme); utility-regulation machinery (14 of 34 — the Department of Energy's annual implementation laws); grid planning and reliability studies; fuels consumer protection (7 of 14 — the record's best rate); facility-siting reform (6 of 13); and the nuclear/utility-generation pivot (two laws and a House declaration in 2025–2026). </w:t>
      </w:r>
      <w:r>
        <w:rPr>
          <w:rFonts w:ascii="Arial" w:cs="Arial" w:eastAsia="Arial" w:hAnsi="Arial"/>
          <w:b w:val="1"/>
          <w:bCs w:val="1"/>
          <w:color w:val="1a2d4f"/>
          <w:sz w:val="20"/>
          <w:szCs w:val="20"/>
          <w:rtl w:val="0"/>
        </w:rPr>
        <w:t xml:space="preserve">Not moving:</w:t>
      </w:r>
      <w:r>
        <w:rPr>
          <w:rFonts w:ascii="Arial" w:cs="Arial" w:eastAsia="Arial" w:hAnsi="Arial"/>
          <w:color w:val="444444"/>
          <w:sz w:val="20"/>
          <w:szCs w:val="20"/>
          <w:rtl w:val="0"/>
        </w:rPr>
        <w:t xml:space="preserve"> rate design and rate accountability (4 of 24, none of them structural); climate and carbon policy (dead in every session, in both parties' majorities); efficiency and weatherization expansion (the funding mechanism was capped, not grown); EV infrastructure spending; and offshore wind, which went from power-purchase machinery (2022) to a House resolution rejecting it entirely (HCR4, 2025, 195–149).</w:t>
      </w:r>
    </w:p>
    <w:p>
      <w:pPr>
        <w:widowControl/>
        <w:spacing w:after="49" w:line="276" w:lineRule="auto"/>
        <w:rPr/>
      </w:pPr>
      <w:r>
        <w:rPr>
          <w:rFonts w:ascii="Arial" w:cs="Arial" w:eastAsia="Arial" w:hAnsi="Arial"/>
          <w:b w:val="1"/>
          <w:bCs w:val="1"/>
          <w:color w:val="1a2d4f"/>
          <w:sz w:val="20"/>
          <w:szCs w:val="20"/>
          <w:rtl w:val="0"/>
        </w:rPr>
        <w:t xml:space="preserve">Where bills stop, and who sponsors them.</w:t>
      </w:r>
      <w:r>
        <w:rPr>
          <w:rFonts w:ascii="Arial" w:cs="Arial" w:eastAsia="Arial" w:hAnsi="Arial"/>
          <w:color w:val="444444"/>
          <w:sz w:val="20"/>
          <w:szCs w:val="20"/>
          <w:rtl w:val="0"/>
        </w:rPr>
        <w:t xml:space="preserve"> The House table is this record's great filter — 87 policy bills died lying on it, including the climate plans, the 2020 net-metering wave, and the time-of-use package — and the Inexpedient to Legislate motion did most of the rest of the killing. Seven vetoes stood, several against clear majorities. Some decisive outcomes left no roll call at all: most committee kills, dozens of consent-calendar deaths, and the 2022 nuclear-waste resolution's unanimous 21–0 committee report ahead of its consent-calendar adoption (HR16). Party labels exist only for 2025–2026 sponsors in this record, where cross-party teams appear on 41 policy bills — thickest in net metering, community power, and grid infrastructure; the most frequent prime sponsors where records exist are in Appendix D.</w:t>
      </w:r>
    </w:p>
    <w:p>
      <w:pPr>
        <w:keepNext/>
        <w:spacing w:before="84" w:after="36" w:line="276" w:lineRule="auto"/>
        <w:rPr/>
      </w:pPr>
      <w:r>
        <w:rPr>
          <w:rFonts w:ascii="Arial" w:cs="Arial" w:eastAsia="Arial" w:hAnsi="Arial"/>
          <w:b w:val="1"/>
          <w:bCs w:val="1"/>
          <w:color w:val="c0392b"/>
          <w:sz w:val="25"/>
          <w:szCs w:val="25"/>
          <w:rtl w:val="0"/>
        </w:rPr>
        <w:t xml:space="preserve">FEDERAL OVERLAP: WHAT WASHINGTON ALREADY COVERS</w:t>
      </w:r>
    </w:p>
    <w:p>
      <w:pPr>
        <w:keepNext/>
        <w:spacing w:after="36" w:line="276" w:lineRule="auto"/>
        <w:rPr/>
      </w:pPr>
      <w:r>
        <w:rPr>
          <w:rFonts w:ascii="Arial" w:cs="Arial" w:eastAsia="Arial" w:hAnsi="Arial"/>
          <w:i w:val="1"/>
          <w:iCs w:val="1"/>
          <w:color w:val="666666"/>
          <w:sz w:val="20"/>
          <w:szCs w:val="20"/>
          <w:rtl w:val="0"/>
        </w:rPr>
        <w:t xml:space="preserve">Where federal action already covers ground — and where the state route is the only one.</w:t>
      </w:r>
    </w:p>
    <w:p>
      <w:pPr>
        <w:widowControl/>
        <w:spacing w:after="49" w:line="276" w:lineRule="auto"/>
        <w:rPr/>
      </w:pPr>
      <w:r>
        <w:rPr>
          <w:rFonts w:ascii="Arial" w:cs="Arial" w:eastAsia="Arial" w:hAnsi="Arial"/>
          <w:color w:val="444444"/>
          <w:sz w:val="20"/>
          <w:szCs w:val="20"/>
          <w:rtl w:val="0"/>
        </w:rPr>
        <w:t xml:space="preserve">Energy has the heaviest federal layer of any issue in this series. Wholesale electricity prices are set in ISO-New England's regional markets under the Federal Energy Regulatory Commission — not in Concord — which is why the record's cost fights run through advocacy: the 2023 trailer's Regional Energy Advocacy Fund, HB690's withdrawal study (2025), and HR15 (2025), the House resolution asking for a FERC policy change. Interstate transmission siting and natural-gas pipeline certification are federally licensed; Seabrook's nuclear license and its waste are federal ground — HR16 (2022) asked Washington to build the national repository the law has promised since 1982. Offshore wind leasing in the Gulf of Maine is federal (the state's HCR4 objects to it; the leases are not the state's to grant). Federal money flows through the state programs this brief covers: LIHEAP funds the fuel assistance program, the federal Weatherization Assistance Program funds the weatherization the NHSaves proposal builds on, and the federal clean-energy tax credits changed the economics of the solar, storage, and EV bills in this record. RGGI is an interstate compact the state joined by statute (RSA 125-O) — the one carbon program in force. What has no federal layer at all is the core of this brief: retail rate design, net metering, community power, the renewable portfolio standard, the system benefits charge, utility property taxation, and who regulates the state's utilities are state ground alone.</w:t>
      </w:r>
    </w:p>
    <w:p>
      <w:pPr>
        <w:pBdr>
          <w:top w:color="c8cdd6" w:space="4" w:sz="6" w:val="single"/>
        </w:pBdr>
        <w:spacing w:before="40" w:after="0" w:line="276" w:lineRule="auto"/>
        <w:rPr/>
      </w:pPr>
      <w:r>
        <w:rPr>
          <w:rFonts w:ascii="Arial" w:cs="Arial" w:eastAsia="Arial" w:hAnsi="Arial"/>
          <w:color w:val="666666"/>
          <w:sz w:val="20"/>
          <w:szCs w:val="20"/>
          <w:rtl w:val="0"/>
        </w:rPr>
        <w:t xml:space="preserve">Full bill-by-bill detail, votes, sponsors, HB2 sections, and sources: Appendices A–I.</w:t>
      </w:r>
    </w:p>
    <w:p>
      <w:pPr>
        <w:pBdr>
          <w:bottom w:color="1a2d4f" w:space="2" w:sz="20" w:val="single"/>
        </w:pBdr>
        <w:spacing w:after="120" w:line="276" w:lineRule="auto"/>
        <w:rPr/>
      </w:pPr>
    </w:p>
    <w:p>
      <w:pPr>
        <w:pBdr>
          <w:bottom w:color="1a2d4f" w:space="2" w:sz="20" w:val="single"/>
        </w:pBdr>
        <w:spacing w:after="120" w:line="276" w:lineRule="auto"/>
        <w:rPr/>
      </w:pPr>
    </w:p>
    <w:p>
      <w:pPr>
        <w:keepNext/>
        <w:spacing w:after="40" w:line="252" w:lineRule="auto"/>
        <w:rPr/>
      </w:pPr>
      <w:r>
        <w:rPr>
          <w:rFonts w:ascii="Arial" w:cs="Arial" w:eastAsia="Arial" w:hAnsi="Arial"/>
          <w:b w:val="1"/>
          <w:bCs w:val="1"/>
          <w:color w:val="1a2d4f"/>
          <w:sz w:val="36"/>
          <w:szCs w:val="36"/>
          <w:rtl w:val="0"/>
        </w:rPr>
        <w:t xml:space="preserve">Policy Spotlights</w:t>
      </w:r>
    </w:p>
    <w:p>
      <w:pPr>
        <w:keepNext/>
        <w:spacing w:after="120" w:line="254" w:lineRule="auto"/>
        <w:rPr/>
      </w:pPr>
      <w:r>
        <w:rPr>
          <w:rFonts w:ascii="Arial" w:cs="Arial" w:eastAsia="Arial" w:hAnsi="Arial"/>
          <w:color w:val="444444"/>
          <w:sz w:val="20"/>
          <w:szCs w:val="20"/>
          <w:rtl w:val="0"/>
        </w:rPr>
        <w:t xml:space="preserve">A focused, bill-by-bill look at how far each proposal from the Community Conversations has traveled. Each policy is sorted into the same viability groups the brief uses, so the brief's top section shows what is viable overall and these spotlights show how viable one policy may be.</w:t>
      </w:r>
    </w:p>
    <w:p>
      <w:pPr>
        <w:keepNext/>
        <w:spacing w:before="84" w:after="36" w:line="254" w:lineRule="auto"/>
        <w:rPr/>
      </w:pPr>
      <w:r>
        <w:rPr>
          <w:rFonts w:ascii="Arial" w:cs="Arial" w:eastAsia="Arial" w:hAnsi="Arial"/>
          <w:b w:val="1"/>
          <w:bCs w:val="1"/>
          <w:color w:val="c0392b"/>
          <w:sz w:val="25"/>
          <w:szCs w:val="25"/>
          <w:rtl w:val="0"/>
        </w:rPr>
        <w:t xml:space="preserve">PRIORITIZE / EXPAND RENEWABLE ENERGY (SOLAR, WIND, GEOTHERMAL, DIVERSIFIED SOURCES)</w:t>
      </w:r>
    </w:p>
    <w:p>
      <w:pPr>
        <w:keepNext/>
        <w:spacing w:after="60"/>
        <w:rPr/>
      </w:pPr>
      <w:r>
        <w:rPr>
          <w:rFonts w:ascii="Arial" w:cs="Arial" w:eastAsia="Arial" w:hAnsi="Arial"/>
          <w:i w:val="1"/>
          <w:iCs w:val="1"/>
          <w:color w:val="666666"/>
          <w:sz w:val="20"/>
          <w:szCs w:val="20"/>
          <w:rtl w:val="0"/>
        </w:rPr>
        <w:t xml:space="preserve">The direction reversed mid-period: 2020's expansions were vetoed, 2021–2022 built machinery, and 2023–2026 turned against offshore wind and the RPS while nuclear rose. Geothermal has never had a New Hampshire bill in either universe.</w:t>
      </w:r>
    </w:p>
    <w:p>
      <w:pPr>
        <w:keepNext/>
        <w:spacing w:before="70" w:after="30" w:line="250" w:lineRule="auto"/>
        <w:rPr/>
      </w:pPr>
      <w:r>
        <w:rPr>
          <w:rFonts w:ascii="Arial" w:cs="Arial" w:eastAsia="Arial" w:hAnsi="Arial"/>
          <w:b w:val="1"/>
          <w:bCs w:val="1"/>
          <w:color w:val="2e4a78"/>
          <w:sz w:val="24"/>
          <w:szCs w:val="24"/>
          <w:rtl w:val="0"/>
        </w:rPr>
        <w:t xml:space="preserve">Already law</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SB91 (2021): </w:t>
      </w:r>
      <w:r>
        <w:rPr>
          <w:rFonts w:ascii="Arial" w:cs="Arial" w:eastAsia="Arial" w:hAnsi="Arial"/>
          <w:color w:val="444444"/>
          <w:sz w:val="20"/>
          <w:szCs w:val="20"/>
          <w:rtl w:val="0"/>
        </w:rPr>
        <w:t xml:space="preserve">the omnibus renewable energy and utilities law — low-income community solar net metering, storage, and utility updates.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SB268 (2022): </w:t>
      </w:r>
      <w:r>
        <w:rPr>
          <w:rFonts w:ascii="Arial" w:cs="Arial" w:eastAsia="Arial" w:hAnsi="Arial"/>
          <w:color w:val="444444"/>
          <w:sz w:val="20"/>
          <w:szCs w:val="20"/>
          <w:rtl w:val="0"/>
        </w:rPr>
        <w:t xml:space="preserve">approval path for Gulf of Maine offshore wind power purchase agreements; SB440 built the industry office the same year.</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SB271 (2022): </w:t>
      </w:r>
      <w:r>
        <w:rPr>
          <w:rFonts w:ascii="Arial" w:cs="Arial" w:eastAsia="Arial" w:hAnsi="Arial"/>
          <w:color w:val="444444"/>
          <w:sz w:val="20"/>
          <w:szCs w:val="20"/>
          <w:rtl w:val="0"/>
        </w:rPr>
        <w:t xml:space="preserve">Burgess BioPower relief — the biomass plant's obligations restructured.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HB1535 and SB599 (2026): </w:t>
      </w:r>
      <w:r>
        <w:rPr>
          <w:rFonts w:ascii="Arial" w:cs="Arial" w:eastAsia="Arial" w:hAnsi="Arial"/>
          <w:color w:val="444444"/>
          <w:sz w:val="20"/>
          <w:szCs w:val="20"/>
          <w:rtl w:val="0"/>
        </w:rPr>
        <w:t xml:space="preserve">RPS class clarifications and renewable-energy-fund amendments — maintenance, not expansion.</w:t>
      </w:r>
    </w:p>
    <w:p>
      <w:pPr>
        <w:keepNext/>
        <w:spacing w:before="70" w:after="30" w:line="250" w:lineRule="auto"/>
        <w:rPr/>
      </w:pPr>
      <w:r>
        <w:rPr>
          <w:rFonts w:ascii="Arial" w:cs="Arial" w:eastAsia="Arial" w:hAnsi="Arial"/>
          <w:b w:val="1"/>
          <w:bCs w:val="1"/>
          <w:color w:val="2e4a78"/>
          <w:sz w:val="24"/>
          <w:szCs w:val="24"/>
          <w:rtl w:val="0"/>
        </w:rPr>
        <w:t xml:space="preserve">Closest to law (vetoed)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SB124 (2020): </w:t>
      </w:r>
      <w:r>
        <w:rPr>
          <w:rFonts w:ascii="Arial" w:cs="Arial" w:eastAsia="Arial" w:hAnsi="Arial"/>
          <w:color w:val="444444"/>
          <w:sz w:val="20"/>
          <w:szCs w:val="20"/>
          <w:rtl w:val="0"/>
        </w:rPr>
        <w:t xml:space="preserve">the RPS raise; passed the House 214–141, override failed in the Senate 14–10.</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HB142 (2023): </w:t>
      </w:r>
      <w:r>
        <w:rPr>
          <w:rFonts w:ascii="Arial" w:cs="Arial" w:eastAsia="Arial" w:hAnsi="Arial"/>
          <w:color w:val="444444"/>
          <w:sz w:val="20"/>
          <w:szCs w:val="20"/>
          <w:rtl w:val="0"/>
        </w:rPr>
        <w:t xml:space="preserve">the second Burgess rescue; passed the House 269–109, override failed 194–159.</w:t>
      </w:r>
    </w:p>
    <w:p>
      <w:pPr>
        <w:keepNext/>
        <w:spacing w:before="70" w:after="30" w:line="250" w:lineRule="auto"/>
        <w:rPr/>
      </w:pPr>
      <w:r>
        <w:rPr>
          <w:rFonts w:ascii="Arial" w:cs="Arial" w:eastAsia="Arial" w:hAnsi="Arial"/>
          <w:b w:val="1"/>
          <w:bCs w:val="1"/>
          <w:color w:val="2e4a78"/>
          <w:sz w:val="24"/>
          <w:szCs w:val="24"/>
          <w:rtl w:val="0"/>
        </w:rPr>
        <w:t xml:space="preserve">Stopped early — and the reversal</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SB78 (2021): </w:t>
      </w:r>
      <w:r>
        <w:rPr>
          <w:rFonts w:ascii="Arial" w:cs="Arial" w:eastAsia="Arial" w:hAnsi="Arial"/>
          <w:color w:val="444444"/>
          <w:sz w:val="20"/>
          <w:szCs w:val="20"/>
          <w:rtl w:val="0"/>
        </w:rPr>
        <w:t xml:space="preserve">the renewable-energy-fund appropriation; died between the chambers.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HB509 (2024) and HB219 (2026): </w:t>
      </w:r>
      <w:r>
        <w:rPr>
          <w:rFonts w:ascii="Arial" w:cs="Arial" w:eastAsia="Arial" w:hAnsi="Arial"/>
          <w:color w:val="444444"/>
          <w:sz w:val="20"/>
          <w:szCs w:val="20"/>
          <w:rtl w:val="0"/>
        </w:rPr>
        <w:t xml:space="preserve">the RPS phase-out; interim study twice, the second after a 175–152 House vote.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HCR4 (2025): </w:t>
      </w:r>
      <w:r>
        <w:rPr>
          <w:rFonts w:ascii="Arial" w:cs="Arial" w:eastAsia="Arial" w:hAnsi="Arial"/>
          <w:color w:val="444444"/>
          <w:sz w:val="20"/>
          <w:szCs w:val="20"/>
          <w:rtl w:val="0"/>
        </w:rPr>
        <w:t xml:space="preserve">the House adopted the resolution rejecting all offshore wind off New Hampshire, 195–149; HB575's outright prohibition died on the table.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HB682 (2025): </w:t>
      </w:r>
      <w:r>
        <w:rPr>
          <w:rFonts w:ascii="Arial" w:cs="Arial" w:eastAsia="Arial" w:hAnsi="Arial"/>
          <w:color w:val="444444"/>
          <w:sz w:val="20"/>
          <w:szCs w:val="20"/>
          <w:rtl w:val="0"/>
        </w:rPr>
        <w:t xml:space="preserve">the offshore wind office became the all-of-the-above office of energy innovation, House 206–163.</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HB2 2025 (141:140–142): </w:t>
      </w:r>
      <w:r>
        <w:rPr>
          <w:rFonts w:ascii="Arial" w:cs="Arial" w:eastAsia="Arial" w:hAnsi="Arial"/>
          <w:color w:val="444444"/>
          <w:sz w:val="20"/>
          <w:szCs w:val="20"/>
          <w:rtl w:val="0"/>
        </w:rPr>
        <w:t xml:space="preserve">the trailer swept the renewable energy fund to the general fund; the rebate alternative (HB224) sits in interim study.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HB1721 (2026) and SB539 (2026): </w:t>
      </w:r>
      <w:r>
        <w:rPr>
          <w:rFonts w:ascii="Arial" w:cs="Arial" w:eastAsia="Arial" w:hAnsi="Arial"/>
          <w:color w:val="444444"/>
          <w:sz w:val="20"/>
          <w:szCs w:val="20"/>
          <w:rtl w:val="0"/>
        </w:rPr>
        <w:t xml:space="preserve">RPS enrollment limits (died on the table) and biomass technology (interim study).</w:t>
      </w:r>
    </w:p>
    <w:p>
      <w:pPr>
        <w:keepNext/>
        <w:spacing w:before="84" w:after="36" w:line="254" w:lineRule="auto"/>
        <w:rPr/>
      </w:pPr>
      <w:r>
        <w:rPr>
          <w:rFonts w:ascii="Arial" w:cs="Arial" w:eastAsia="Arial" w:hAnsi="Arial"/>
          <w:b w:val="1"/>
          <w:bCs w:val="1"/>
          <w:color w:val="c0392b"/>
          <w:sz w:val="25"/>
          <w:szCs w:val="25"/>
          <w:rtl w:val="0"/>
        </w:rPr>
        <w:t xml:space="preserve">FUND / STRENGTHEN NH SAVES WEATHERIZATION &amp; EFFICIENCY PROGRAMS (INCLUDING ON-BILL FINANCING)</w:t>
      </w:r>
    </w:p>
    <w:p>
      <w:pPr>
        <w:keepNext/>
        <w:spacing w:after="60"/>
        <w:rPr/>
      </w:pPr>
      <w:r>
        <w:rPr>
          <w:rFonts w:ascii="Arial" w:cs="Arial" w:eastAsia="Arial" w:hAnsi="Arial"/>
          <w:i w:val="1"/>
          <w:iCs w:val="1"/>
          <w:color w:val="666666"/>
          <w:sz w:val="20"/>
          <w:szCs w:val="20"/>
          <w:rtl w:val="0"/>
        </w:rPr>
        <w:t xml:space="preserve">The funding mechanism was fought over all period — and the outcome capped it. On-bill financing has never had a standalone bill; the financing that passed is property-based.</w:t>
      </w:r>
    </w:p>
    <w:p>
      <w:pPr>
        <w:keepNext/>
        <w:spacing w:before="70" w:after="30" w:line="250" w:lineRule="auto"/>
        <w:rPr/>
      </w:pPr>
      <w:r>
        <w:rPr>
          <w:rFonts w:ascii="Arial" w:cs="Arial" w:eastAsia="Arial" w:hAnsi="Arial"/>
          <w:b w:val="1"/>
          <w:bCs w:val="1"/>
          <w:color w:val="2e4a78"/>
          <w:sz w:val="24"/>
          <w:szCs w:val="24"/>
          <w:rtl w:val="0"/>
        </w:rPr>
        <w:t xml:space="preserve">Already law (the settlement and the assistance side)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HB549 (2022): </w:t>
      </w:r>
      <w:r>
        <w:rPr>
          <w:rFonts w:ascii="Arial" w:cs="Arial" w:eastAsia="Arial" w:hAnsi="Arial"/>
          <w:color w:val="444444"/>
          <w:sz w:val="20"/>
          <w:szCs w:val="20"/>
          <w:rtl w:val="0"/>
        </w:rPr>
        <w:t xml:space="preserve">rebuilt the system benefits charge on a statutory formula after regulators cut the 2021 efficiency plan; House 343–0 — restoring the programs while capping their growth.</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SB113 (2023): </w:t>
      </w:r>
      <w:r>
        <w:rPr>
          <w:rFonts w:ascii="Arial" w:cs="Arial" w:eastAsia="Arial" w:hAnsi="Arial"/>
          <w:color w:val="444444"/>
          <w:sz w:val="20"/>
          <w:szCs w:val="20"/>
          <w:rtl w:val="0"/>
        </w:rPr>
        <w:t xml:space="preserve">legislative approval required for future SBC increases; HB211 added the effectiveness report.</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HB2023 (2022): </w:t>
      </w:r>
      <w:r>
        <w:rPr>
          <w:rFonts w:ascii="Arial" w:cs="Arial" w:eastAsia="Arial" w:hAnsi="Arial"/>
          <w:color w:val="444444"/>
          <w:sz w:val="20"/>
          <w:szCs w:val="20"/>
          <w:rtl w:val="0"/>
        </w:rPr>
        <w:t xml:space="preserve">emergency fuel assistance and a supplemental electric benefit in the price spike; Senate 23–0 on the remainder.</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SB236 (2025): </w:t>
      </w:r>
      <w:r>
        <w:rPr>
          <w:rFonts w:ascii="Arial" w:cs="Arial" w:eastAsia="Arial" w:hAnsi="Arial"/>
          <w:color w:val="444444"/>
          <w:sz w:val="20"/>
          <w:szCs w:val="20"/>
          <w:rtl w:val="0"/>
        </w:rPr>
        <w:t xml:space="preserve">the Electric Assistance Program — the ratepayer-funded low-income bill discount — moved to the Department of Energy.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SB4 (2025) and SB440 (2026): </w:t>
      </w:r>
      <w:r>
        <w:rPr>
          <w:rFonts w:ascii="Arial" w:cs="Arial" w:eastAsia="Arial" w:hAnsi="Arial"/>
          <w:color w:val="444444"/>
          <w:sz w:val="20"/>
          <w:szCs w:val="20"/>
          <w:rtl w:val="0"/>
        </w:rPr>
        <w:t xml:space="preserve">C-PACER financing (Senate 23–0) and municipal clean-energy districts — the property-based efficiency financing that passed after HB342 fell 154–195 on concurrence.</w:t>
      </w:r>
    </w:p>
    <w:p>
      <w:pPr>
        <w:keepNext/>
        <w:spacing w:before="70" w:after="30" w:line="250" w:lineRule="auto"/>
        <w:rPr/>
      </w:pPr>
      <w:r>
        <w:rPr>
          <w:rFonts w:ascii="Arial" w:cs="Arial" w:eastAsia="Arial" w:hAnsi="Arial"/>
          <w:b w:val="1"/>
          <w:bCs w:val="1"/>
          <w:color w:val="2e4a78"/>
          <w:sz w:val="24"/>
          <w:szCs w:val="24"/>
          <w:rtl w:val="0"/>
        </w:rPr>
        <w:t xml:space="preserve">Stopped early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SB122 (2020): </w:t>
      </w:r>
      <w:r>
        <w:rPr>
          <w:rFonts w:ascii="Arial" w:cs="Arial" w:eastAsia="Arial" w:hAnsi="Arial"/>
          <w:color w:val="444444"/>
          <w:sz w:val="20"/>
          <w:szCs w:val="20"/>
          <w:rtl w:val="0"/>
        </w:rPr>
        <w:t xml:space="preserve">the efficiency-fund bill; passed the House 212–140, vetoed.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HB1621 (2022) and HB418 (2023): </w:t>
      </w:r>
      <w:r>
        <w:rPr>
          <w:rFonts w:ascii="Arial" w:cs="Arial" w:eastAsia="Arial" w:hAnsi="Arial"/>
          <w:color w:val="444444"/>
          <w:sz w:val="20"/>
          <w:szCs w:val="20"/>
          <w:rtl w:val="0"/>
        </w:rPr>
        <w:t xml:space="preserve">the raids in the other direction — cutting or eliminating the efficiency fund's rebates; both died on the table.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HB1317 (2020): </w:t>
      </w:r>
      <w:r>
        <w:rPr>
          <w:rFonts w:ascii="Arial" w:cs="Arial" w:eastAsia="Arial" w:hAnsi="Arial"/>
          <w:color w:val="444444"/>
          <w:sz w:val="20"/>
          <w:szCs w:val="20"/>
          <w:rtl w:val="0"/>
        </w:rPr>
        <w:t xml:space="preserve">ratepayer-funded efficiency and renewable project financing; killed.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SB269 (2022), HB1230 (2024), HB599 (2025): </w:t>
      </w:r>
      <w:r>
        <w:rPr>
          <w:rFonts w:ascii="Arial" w:cs="Arial" w:eastAsia="Arial" w:hAnsi="Arial"/>
          <w:color w:val="444444"/>
          <w:sz w:val="20"/>
          <w:szCs w:val="20"/>
          <w:rtl w:val="0"/>
        </w:rPr>
        <w:t xml:space="preserve">the weatherization study committees; interim study (182–152), then killed twice.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HB96 (2025) and HB1180 (2026): </w:t>
      </w:r>
      <w:r>
        <w:rPr>
          <w:rFonts w:ascii="Arial" w:cs="Arial" w:eastAsia="Arial" w:hAnsi="Arial"/>
          <w:color w:val="444444"/>
          <w:sz w:val="20"/>
          <w:szCs w:val="20"/>
          <w:rtl w:val="0"/>
        </w:rPr>
        <w:t xml:space="preserve">the building energy-code updates; tabled 199–135, then killed in committee.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HB1748 (2026): </w:t>
      </w:r>
      <w:r>
        <w:rPr>
          <w:rFonts w:ascii="Arial" w:cs="Arial" w:eastAsia="Arial" w:hAnsi="Arial"/>
          <w:color w:val="444444"/>
          <w:sz w:val="20"/>
          <w:szCs w:val="20"/>
          <w:rtl w:val="0"/>
        </w:rPr>
        <w:t xml:space="preserve">the energy efficiency and resource development authority; interim study.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HB2 2023 (79:581): </w:t>
      </w:r>
      <w:r>
        <w:rPr>
          <w:rFonts w:ascii="Arial" w:cs="Arial" w:eastAsia="Arial" w:hAnsi="Arial"/>
          <w:color w:val="444444"/>
          <w:sz w:val="20"/>
          <w:szCs w:val="20"/>
          <w:rtl w:val="0"/>
        </w:rPr>
        <w:t xml:space="preserve">the trailer's contribution to the assistance side — the study of a graduated fuel-assistance program for households above the eligibility cliff.</w:t>
      </w:r>
    </w:p>
    <w:p>
      <w:pPr>
        <w:keepNext/>
        <w:spacing w:before="84" w:after="36" w:line="254" w:lineRule="auto"/>
        <w:rPr/>
      </w:pPr>
      <w:r>
        <w:rPr>
          <w:rFonts w:ascii="Arial" w:cs="Arial" w:eastAsia="Arial" w:hAnsi="Arial"/>
          <w:b w:val="1"/>
          <w:bCs w:val="1"/>
          <w:color w:val="c0392b"/>
          <w:sz w:val="25"/>
          <w:szCs w:val="25"/>
          <w:rtl w:val="0"/>
        </w:rPr>
        <w:t xml:space="preserve">GREATER TRANSPARENCY / ACCOUNTABILITY FOR EVERSOURCE; BETTER REGULATION OF THE PUC</w:t>
      </w:r>
    </w:p>
    <w:p>
      <w:pPr>
        <w:keepNext/>
        <w:spacing w:after="60"/>
        <w:rPr/>
      </w:pPr>
      <w:r>
        <w:rPr>
          <w:rFonts w:ascii="Arial" w:cs="Arial" w:eastAsia="Arial" w:hAnsi="Arial"/>
          <w:i w:val="1"/>
          <w:iCs w:val="1"/>
          <w:color w:val="666666"/>
          <w:sz w:val="20"/>
          <w:szCs w:val="20"/>
          <w:rtl w:val="0"/>
        </w:rPr>
        <w:t xml:space="preserve">The state rebuilt who regulates — the 2021 trailer's Department of Energy — but nearly every bill aimed at utility or regulator accountability died.</w:t>
      </w:r>
    </w:p>
    <w:p>
      <w:pPr>
        <w:keepNext/>
        <w:spacing w:before="70" w:after="30" w:line="250" w:lineRule="auto"/>
        <w:rPr/>
      </w:pPr>
      <w:r>
        <w:rPr>
          <w:rFonts w:ascii="Arial" w:cs="Arial" w:eastAsia="Arial" w:hAnsi="Arial"/>
          <w:b w:val="1"/>
          <w:bCs w:val="1"/>
          <w:color w:val="2e4a78"/>
          <w:sz w:val="24"/>
          <w:szCs w:val="24"/>
          <w:rtl w:val="0"/>
        </w:rPr>
        <w:t xml:space="preserve">Already law</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HB2 2021 (91:187, 91:204, 91:206, 91:211): </w:t>
      </w:r>
      <w:r>
        <w:rPr>
          <w:rFonts w:ascii="Arial" w:cs="Arial" w:eastAsia="Arial" w:hAnsi="Arial"/>
          <w:color w:val="444444"/>
          <w:sz w:val="20"/>
          <w:szCs w:val="20"/>
          <w:rtl w:val="0"/>
        </w:rPr>
        <w:t xml:space="preserve">the Department of Energy; the smaller full-time PUC with a revolving-door ban; the independent consumer advocate.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HB610 (2026): </w:t>
      </w:r>
      <w:r>
        <w:rPr>
          <w:rFonts w:ascii="Arial" w:cs="Arial" w:eastAsia="Arial" w:hAnsi="Arial"/>
          <w:color w:val="444444"/>
          <w:sz w:val="20"/>
          <w:szCs w:val="20"/>
          <w:rtl w:val="0"/>
        </w:rPr>
        <w:t xml:space="preserve">the residential ratepayers advisory board — the one new accountability body that passed.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HB1733 (2026): </w:t>
      </w:r>
      <w:r>
        <w:rPr>
          <w:rFonts w:ascii="Arial" w:cs="Arial" w:eastAsia="Arial" w:hAnsi="Arial"/>
          <w:color w:val="444444"/>
          <w:sz w:val="20"/>
          <w:szCs w:val="20"/>
          <w:rtl w:val="0"/>
        </w:rPr>
        <w:t xml:space="preserve">default-service reconciliation reform; HB672 (2025, House 185–151) authorized off-grid providers.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HB690 (2025): </w:t>
      </w:r>
      <w:r>
        <w:rPr>
          <w:rFonts w:ascii="Arial" w:cs="Arial" w:eastAsia="Arial" w:hAnsi="Arial"/>
          <w:color w:val="444444"/>
          <w:sz w:val="20"/>
          <w:szCs w:val="20"/>
          <w:rtl w:val="0"/>
        </w:rPr>
        <w:t xml:space="preserve">the ISO-New England withdrawal study, House 200–155 — with the 2023 trailer's Regional Energy Advocacy Fund behind it.</w:t>
      </w:r>
    </w:p>
    <w:p>
      <w:pPr>
        <w:keepNext/>
        <w:spacing w:before="70" w:after="30" w:line="250" w:lineRule="auto"/>
        <w:rPr/>
      </w:pPr>
      <w:r>
        <w:rPr>
          <w:rFonts w:ascii="Arial" w:cs="Arial" w:eastAsia="Arial" w:hAnsi="Arial"/>
          <w:b w:val="1"/>
          <w:bCs w:val="1"/>
          <w:color w:val="2e4a78"/>
          <w:sz w:val="24"/>
          <w:szCs w:val="24"/>
          <w:rtl w:val="0"/>
        </w:rPr>
        <w:t xml:space="preserve">Stopped early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HB633 (2023): </w:t>
      </w:r>
      <w:r>
        <w:rPr>
          <w:rFonts w:ascii="Arial" w:cs="Arial" w:eastAsia="Arial" w:hAnsi="Arial"/>
          <w:color w:val="444444"/>
          <w:sz w:val="20"/>
          <w:szCs w:val="20"/>
          <w:rtl w:val="0"/>
        </w:rPr>
        <w:t xml:space="preserve">the Eversource market-share and rate-increase bill; killed.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CACR30 (2026): </w:t>
      </w:r>
      <w:r>
        <w:rPr>
          <w:rFonts w:ascii="Arial" w:cs="Arial" w:eastAsia="Arial" w:hAnsi="Arial"/>
          <w:color w:val="444444"/>
          <w:sz w:val="20"/>
          <w:szCs w:val="20"/>
          <w:rtl w:val="0"/>
        </w:rPr>
        <w:t xml:space="preserve">electing PUC commissioners; killed on the House floor.</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HB1724 and HB1745 (2026): </w:t>
      </w:r>
      <w:r>
        <w:rPr>
          <w:rFonts w:ascii="Arial" w:cs="Arial" w:eastAsia="Arial" w:hAnsi="Arial"/>
          <w:color w:val="444444"/>
          <w:sz w:val="20"/>
          <w:szCs w:val="20"/>
          <w:rtl w:val="0"/>
        </w:rPr>
        <w:t xml:space="preserve">retail-charge transparency and ratepayer cost-allocation reform; both died in committee.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SB499 (2020) and SB320 (2024): </w:t>
      </w:r>
      <w:r>
        <w:rPr>
          <w:rFonts w:ascii="Arial" w:cs="Arial" w:eastAsia="Arial" w:hAnsi="Arial"/>
          <w:color w:val="444444"/>
          <w:sz w:val="20"/>
          <w:szCs w:val="20"/>
          <w:rtl w:val="0"/>
        </w:rPr>
        <w:t xml:space="preserve">utility performance incentives and penalties; killed, then interim study.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HB169 (2025), HB1736 and SB537 (2026): </w:t>
      </w:r>
      <w:r>
        <w:rPr>
          <w:rFonts w:ascii="Arial" w:cs="Arial" w:eastAsia="Arial" w:hAnsi="Arial"/>
          <w:color w:val="444444"/>
          <w:sz w:val="20"/>
          <w:szCs w:val="20"/>
          <w:rtl w:val="0"/>
        </w:rPr>
        <w:t xml:space="preserve">the PUC-quorum change and both alternative-regulation repeals; all killed.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HB535 (2025) and SB597 (2026): </w:t>
      </w:r>
      <w:r>
        <w:rPr>
          <w:rFonts w:ascii="Arial" w:cs="Arial" w:eastAsia="Arial" w:hAnsi="Arial"/>
          <w:color w:val="444444"/>
          <w:sz w:val="20"/>
          <w:szCs w:val="20"/>
          <w:rtl w:val="0"/>
        </w:rPr>
        <w:t xml:space="preserve">the PUC-role definition (tabled) and the inflation-indexed rate threshold (interim study) — the proposal's nearest live vehicle.</w:t>
      </w:r>
    </w:p>
    <w:p>
      <w:pPr>
        <w:keepNext/>
        <w:spacing w:before="84" w:after="36" w:line="254" w:lineRule="auto"/>
        <w:rPr/>
      </w:pPr>
      <w:r>
        <w:rPr>
          <w:rFonts w:ascii="Arial" w:cs="Arial" w:eastAsia="Arial" w:hAnsi="Arial"/>
          <w:b w:val="1"/>
          <w:bCs w:val="1"/>
          <w:color w:val="c0392b"/>
          <w:sz w:val="25"/>
          <w:szCs w:val="25"/>
          <w:rtl w:val="0"/>
        </w:rPr>
        <w:t xml:space="preserve">INCENTIVIZE RENEWABLES FOR CITIES, TOWNS, AND INDIVIDUALS AND STRENGTHEN SUPPORTING GRID INFRASTRUCTURE</w:t>
      </w:r>
    </w:p>
    <w:p>
      <w:pPr>
        <w:keepNext/>
        <w:spacing w:after="60"/>
        <w:rPr/>
      </w:pPr>
      <w:r>
        <w:rPr>
          <w:rFonts w:ascii="Arial" w:cs="Arial" w:eastAsia="Arial" w:hAnsi="Arial"/>
          <w:i w:val="1"/>
          <w:iCs w:val="1"/>
          <w:color w:val="666666"/>
          <w:sz w:val="20"/>
          <w:szCs w:val="20"/>
          <w:rtl w:val="0"/>
        </w:rPr>
        <w:t xml:space="preserve">The municipal half is the record's biggest success story. The individual half hit a ceiling for years before 2026 cracked it. The grid half passes as planning, not investment.</w:t>
      </w:r>
    </w:p>
    <w:p>
      <w:pPr>
        <w:keepNext/>
        <w:spacing w:before="70" w:after="30" w:line="250" w:lineRule="auto"/>
        <w:rPr/>
      </w:pPr>
      <w:r>
        <w:rPr>
          <w:rFonts w:ascii="Arial" w:cs="Arial" w:eastAsia="Arial" w:hAnsi="Arial"/>
          <w:b w:val="1"/>
          <w:bCs w:val="1"/>
          <w:color w:val="2e4a78"/>
          <w:sz w:val="24"/>
          <w:szCs w:val="24"/>
          <w:rtl w:val="0"/>
        </w:rPr>
        <w:t xml:space="preserve">Already law (the municipal machinery)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HB315 (2021), SB265 (2022), HB385 (2023), HB1600 (2024), SB590 (2026): </w:t>
      </w:r>
      <w:r>
        <w:rPr>
          <w:rFonts w:ascii="Arial" w:cs="Arial" w:eastAsia="Arial" w:hAnsi="Arial"/>
          <w:color w:val="444444"/>
          <w:sz w:val="20"/>
          <w:szCs w:val="20"/>
          <w:rtl w:val="0"/>
        </w:rPr>
        <w:t xml:space="preserve">community power, step by step — municipal hosts, county aggregation, plan approvals, the rewrite, the refinements.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SB270 (2022) and SB161 (2023): </w:t>
      </w:r>
      <w:r>
        <w:rPr>
          <w:rFonts w:ascii="Arial" w:cs="Arial" w:eastAsia="Arial" w:hAnsi="Arial"/>
          <w:color w:val="444444"/>
          <w:sz w:val="20"/>
          <w:szCs w:val="20"/>
          <w:rtl w:val="0"/>
        </w:rPr>
        <w:t xml:space="preserve">low-income community solar and its renewable-fund set-aside.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SB538, SB540, HB1718, HB1742 (2026): </w:t>
      </w:r>
      <w:r>
        <w:rPr>
          <w:rFonts w:ascii="Arial" w:cs="Arial" w:eastAsia="Arial" w:hAnsi="Arial"/>
          <w:color w:val="444444"/>
          <w:sz w:val="20"/>
          <w:szCs w:val="20"/>
          <w:rtl w:val="0"/>
        </w:rPr>
        <w:t xml:space="preserve">municipal net-metering terms, plug-in solar, storage with net metering, and aggregation-enrollment protection.</w:t>
      </w:r>
    </w:p>
    <w:p>
      <w:pPr>
        <w:keepNext/>
        <w:spacing w:before="70" w:after="30" w:line="250" w:lineRule="auto"/>
        <w:rPr/>
      </w:pPr>
      <w:r>
        <w:rPr>
          <w:rFonts w:ascii="Arial" w:cs="Arial" w:eastAsia="Arial" w:hAnsi="Arial"/>
          <w:b w:val="1"/>
          <w:bCs w:val="1"/>
          <w:color w:val="2e4a78"/>
          <w:sz w:val="24"/>
          <w:szCs w:val="24"/>
          <w:rtl w:val="0"/>
        </w:rPr>
        <w:t xml:space="preserve">Already law (the grid-planning layer)</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SB166 (2023) and SB233 (2025): </w:t>
      </w:r>
      <w:r>
        <w:rPr>
          <w:rFonts w:ascii="Arial" w:cs="Arial" w:eastAsia="Arial" w:hAnsi="Arial"/>
          <w:color w:val="444444"/>
          <w:sz w:val="20"/>
          <w:szCs w:val="20"/>
          <w:rtl w:val="0"/>
        </w:rPr>
        <w:t xml:space="preserve">grid modernization and its advisory group; HB1431 (2024) required integrated distribution planning.</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HB558 (2024) and SB589 (2026): </w:t>
      </w:r>
      <w:r>
        <w:rPr>
          <w:rFonts w:ascii="Arial" w:cs="Arial" w:eastAsia="Arial" w:hAnsi="Arial"/>
          <w:color w:val="444444"/>
          <w:sz w:val="20"/>
          <w:szCs w:val="20"/>
          <w:rtl w:val="0"/>
        </w:rPr>
        <w:t xml:space="preserve">the microgrid study, then port electrification and microgrid development with cybersecurity standards.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HB1539 and HB1723 (2026): </w:t>
      </w:r>
      <w:r>
        <w:rPr>
          <w:rFonts w:ascii="Arial" w:cs="Arial" w:eastAsia="Arial" w:hAnsi="Arial"/>
          <w:color w:val="444444"/>
          <w:sz w:val="20"/>
          <w:szCs w:val="20"/>
          <w:rtl w:val="0"/>
        </w:rPr>
        <w:t xml:space="preserve">storm-cost securitization bonds and transformer-vulnerability assessments.</w:t>
      </w:r>
    </w:p>
    <w:p>
      <w:pPr>
        <w:keepNext/>
        <w:spacing w:before="70" w:after="30" w:line="250" w:lineRule="auto"/>
        <w:rPr/>
      </w:pPr>
      <w:r>
        <w:rPr>
          <w:rFonts w:ascii="Arial" w:cs="Arial" w:eastAsia="Arial" w:hAnsi="Arial"/>
          <w:b w:val="1"/>
          <w:bCs w:val="1"/>
          <w:color w:val="2e4a78"/>
          <w:sz w:val="24"/>
          <w:szCs w:val="24"/>
          <w:rtl w:val="0"/>
        </w:rPr>
        <w:t xml:space="preserve">Stopped early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SB159 (2020) and SB79 (2023): </w:t>
      </w:r>
      <w:r>
        <w:rPr>
          <w:rFonts w:ascii="Arial" w:cs="Arial" w:eastAsia="Arial" w:hAnsi="Arial"/>
          <w:color w:val="444444"/>
          <w:sz w:val="20"/>
          <w:szCs w:val="20"/>
          <w:rtl w:val="0"/>
        </w:rPr>
        <w:t xml:space="preserve">the individual capacity-cap raises; vetoed, overrides failing 207–130 and abandoned 0–23.</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SB109 (2021): </w:t>
      </w:r>
      <w:r>
        <w:rPr>
          <w:rFonts w:ascii="Arial" w:cs="Arial" w:eastAsia="Arial" w:hAnsi="Arial"/>
          <w:color w:val="444444"/>
          <w:sz w:val="20"/>
          <w:szCs w:val="20"/>
          <w:rtl w:val="0"/>
        </w:rPr>
        <w:t xml:space="preserve">the municipal-host expansion; unanimous Senate votes 24–0, then left on the table.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HB1402 (2020) and HB106 (2021–22): </w:t>
      </w:r>
      <w:r>
        <w:rPr>
          <w:rFonts w:ascii="Arial" w:cs="Arial" w:eastAsia="Arial" w:hAnsi="Arial"/>
          <w:color w:val="444444"/>
          <w:sz w:val="20"/>
          <w:szCs w:val="20"/>
          <w:rtl w:val="0"/>
        </w:rPr>
        <w:t xml:space="preserve">the municipal host procedures; interim study after a 188–148 vote, then killed on the second try.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SB228 (2025), SB449 and SB106 (2026): </w:t>
      </w:r>
      <w:r>
        <w:rPr>
          <w:rFonts w:ascii="Arial" w:cs="Arial" w:eastAsia="Arial" w:hAnsi="Arial"/>
          <w:color w:val="444444"/>
          <w:sz w:val="20"/>
          <w:szCs w:val="20"/>
          <w:rtl w:val="0"/>
        </w:rPr>
        <w:t xml:space="preserve">the biennium's expansions; killed 190–151 and 181–158, postponed 172–152.</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SB168 (2024): </w:t>
      </w:r>
      <w:r>
        <w:rPr>
          <w:rFonts w:ascii="Arial" w:cs="Arial" w:eastAsia="Arial" w:hAnsi="Arial"/>
          <w:color w:val="444444"/>
          <w:sz w:val="20"/>
          <w:szCs w:val="20"/>
          <w:rtl w:val="0"/>
        </w:rPr>
        <w:t xml:space="preserve">the low-income community solar expansion; killed on its second run.</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SB307 and SB386 (2024): </w:t>
      </w:r>
      <w:r>
        <w:rPr>
          <w:rFonts w:ascii="Arial" w:cs="Arial" w:eastAsia="Arial" w:hAnsi="Arial"/>
          <w:color w:val="444444"/>
          <w:sz w:val="20"/>
          <w:szCs w:val="20"/>
          <w:rtl w:val="0"/>
        </w:rPr>
        <w:t xml:space="preserve">transmission service agreements and the generation-transmission-storage study; the Senate deadline and the table.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SB230 and HB460 (2025), HB1741 (2026): </w:t>
      </w:r>
      <w:r>
        <w:rPr>
          <w:rFonts w:ascii="Arial" w:cs="Arial" w:eastAsia="Arial" w:hAnsi="Arial"/>
          <w:color w:val="444444"/>
          <w:sz w:val="20"/>
          <w:szCs w:val="20"/>
          <w:rtl w:val="0"/>
        </w:rPr>
        <w:t xml:space="preserve">distributed-energy investment and aggregation enrollment; all died.</w:t>
      </w:r>
    </w:p>
    <w:p>
      <w:pPr>
        <w:keepNext/>
        <w:spacing w:before="84" w:after="36" w:line="254" w:lineRule="auto"/>
        <w:rPr/>
      </w:pPr>
      <w:r>
        <w:rPr>
          <w:rFonts w:ascii="Arial" w:cs="Arial" w:eastAsia="Arial" w:hAnsi="Arial"/>
          <w:b w:val="1"/>
          <w:bCs w:val="1"/>
          <w:color w:val="c0392b"/>
          <w:sz w:val="25"/>
          <w:szCs w:val="25"/>
          <w:rtl w:val="0"/>
        </w:rPr>
        <w:t xml:space="preserve">ADOPT TIME-OF-USE / VARIABLE-PRICE ELECTRICITY RATES</w:t>
      </w:r>
    </w:p>
    <w:p>
      <w:pPr>
        <w:keepNext/>
        <w:spacing w:after="60"/>
        <w:rPr/>
      </w:pPr>
      <w:r>
        <w:rPr>
          <w:rFonts w:ascii="Arial" w:cs="Arial" w:eastAsia="Arial" w:hAnsi="Arial"/>
          <w:i w:val="1"/>
          <w:iCs w:val="1"/>
          <w:color w:val="666666"/>
          <w:sz w:val="20"/>
          <w:szCs w:val="20"/>
          <w:rtl w:val="0"/>
        </w:rPr>
        <w:t xml:space="preserve">The direct vehicle died on the House table in 2025 — and the meters and data infrastructure variable pricing depends on has been dying since 2020.</w:t>
      </w:r>
    </w:p>
    <w:p>
      <w:pPr>
        <w:keepNext/>
        <w:spacing w:before="70" w:after="30" w:line="250" w:lineRule="auto"/>
        <w:rPr/>
      </w:pPr>
      <w:r>
        <w:rPr>
          <w:rFonts w:ascii="Arial" w:cs="Arial" w:eastAsia="Arial" w:hAnsi="Arial"/>
          <w:b w:val="1"/>
          <w:bCs w:val="1"/>
          <w:color w:val="2e4a78"/>
          <w:sz w:val="24"/>
          <w:szCs w:val="24"/>
          <w:rtl w:val="0"/>
        </w:rPr>
        <w:t xml:space="preserve">Stopped early (the direct vehicles)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HB674 (2025): </w:t>
      </w:r>
      <w:r>
        <w:rPr>
          <w:rFonts w:ascii="Arial" w:cs="Arial" w:eastAsia="Arial" w:hAnsi="Arial"/>
          <w:color w:val="444444"/>
          <w:sz w:val="20"/>
          <w:szCs w:val="20"/>
          <w:rtl w:val="0"/>
        </w:rPr>
        <w:t xml:space="preserve">non-wire alternatives, time-of-use tariffs for advanced-meter customers, multi-year rate settings; died on the House table.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HB692 (2025): </w:t>
      </w:r>
      <w:r>
        <w:rPr>
          <w:rFonts w:ascii="Arial" w:cs="Arial" w:eastAsia="Arial" w:hAnsi="Arial"/>
          <w:color w:val="444444"/>
          <w:sz w:val="20"/>
          <w:szCs w:val="20"/>
          <w:rtl w:val="0"/>
        </w:rPr>
        <w:t xml:space="preserve">requiring utilities to adopt advanced meters; died on the table with it.</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HB631 (2023–24): </w:t>
      </w:r>
      <w:r>
        <w:rPr>
          <w:rFonts w:ascii="Arial" w:cs="Arial" w:eastAsia="Arial" w:hAnsi="Arial"/>
          <w:color w:val="444444"/>
          <w:sz w:val="20"/>
          <w:szCs w:val="20"/>
          <w:rtl w:val="0"/>
        </w:rPr>
        <w:t xml:space="preserve">the smart-meter gateway bills; the second killed 192–180.</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HB1405 (2020) and HB1743 (2026): </w:t>
      </w:r>
      <w:r>
        <w:rPr>
          <w:rFonts w:ascii="Arial" w:cs="Arial" w:eastAsia="Arial" w:hAnsi="Arial"/>
          <w:color w:val="444444"/>
          <w:sz w:val="20"/>
          <w:szCs w:val="20"/>
          <w:rtl w:val="0"/>
        </w:rPr>
        <w:t xml:space="preserve">the meter-skeptic bills — wireless-meter limits and radiation disclosure; killed at both ends of the record.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HB382 (2021–22) and HB1475 (2026): </w:t>
      </w:r>
      <w:r>
        <w:rPr>
          <w:rFonts w:ascii="Arial" w:cs="Arial" w:eastAsia="Arial" w:hAnsi="Arial"/>
          <w:color w:val="444444"/>
          <w:sz w:val="20"/>
          <w:szCs w:val="20"/>
          <w:rtl w:val="0"/>
        </w:rPr>
        <w:t xml:space="preserve">the demand-charge and fixed-versus-usage studies; both died.</w:t>
      </w:r>
    </w:p>
    <w:p>
      <w:pPr>
        <w:keepNext/>
        <w:spacing w:before="70" w:after="30" w:line="250" w:lineRule="auto"/>
        <w:rPr/>
      </w:pPr>
      <w:r>
        <w:rPr>
          <w:rFonts w:ascii="Arial" w:cs="Arial" w:eastAsia="Arial" w:hAnsi="Arial"/>
          <w:b w:val="1"/>
          <w:bCs w:val="1"/>
          <w:color w:val="2e4a78"/>
          <w:sz w:val="24"/>
          <w:szCs w:val="24"/>
          <w:rtl w:val="0"/>
        </w:rPr>
        <w:t xml:space="preserve">The data layer went backward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HB2 2021 (91:292): </w:t>
      </w:r>
      <w:r>
        <w:rPr>
          <w:rFonts w:ascii="Arial" w:cs="Arial" w:eastAsia="Arial" w:hAnsi="Arial"/>
          <w:color w:val="444444"/>
          <w:sz w:val="20"/>
          <w:szCs w:val="20"/>
          <w:rtl w:val="0"/>
        </w:rPr>
        <w:t xml:space="preserve">the trailer wrote the multi-use energy data platform into statute — shared customer and supplier access to usage data.</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HB1285 (2022): </w:t>
      </w:r>
      <w:r>
        <w:rPr>
          <w:rFonts w:ascii="Arial" w:cs="Arial" w:eastAsia="Arial" w:hAnsi="Arial"/>
          <w:color w:val="444444"/>
          <w:sz w:val="20"/>
          <w:szCs w:val="20"/>
          <w:rtl w:val="0"/>
        </w:rPr>
        <w:t xml:space="preserve">amended the platform's statute; became law, but the platform never launched.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SB165 (2023–24) and HB681 (2025): </w:t>
      </w:r>
      <w:r>
        <w:rPr>
          <w:rFonts w:ascii="Arial" w:cs="Arial" w:eastAsia="Arial" w:hAnsi="Arial"/>
          <w:color w:val="444444"/>
          <w:sz w:val="20"/>
          <w:szCs w:val="20"/>
          <w:rtl w:val="0"/>
        </w:rPr>
        <w:t xml:space="preserve">the replacement platform bills; killed.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HB723 (2026): </w:t>
      </w:r>
      <w:r>
        <w:rPr>
          <w:rFonts w:ascii="Arial" w:cs="Arial" w:eastAsia="Arial" w:hAnsi="Arial"/>
          <w:color w:val="444444"/>
          <w:sz w:val="20"/>
          <w:szCs w:val="20"/>
          <w:rtl w:val="0"/>
        </w:rPr>
        <w:t xml:space="preserve">repealed the platform outright (Chapter 28), after a 201–160 House vote on the carryover record.</w:t>
      </w:r>
    </w:p>
    <w:p>
      <w:pPr>
        <w:keepNext/>
        <w:spacing w:before="70" w:after="30" w:line="250" w:lineRule="auto"/>
        <w:rPr/>
      </w:pPr>
      <w:r>
        <w:rPr>
          <w:rFonts w:ascii="Arial" w:cs="Arial" w:eastAsia="Arial" w:hAnsi="Arial"/>
          <w:b w:val="1"/>
          <w:bCs w:val="1"/>
          <w:color w:val="2e4a78"/>
          <w:sz w:val="24"/>
          <w:szCs w:val="24"/>
          <w:rtl w:val="0"/>
        </w:rPr>
        <w:t xml:space="preserve">What passed instead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SB54 (2023) and HB1733 (2026): </w:t>
      </w:r>
      <w:r>
        <w:rPr>
          <w:rFonts w:ascii="Arial" w:cs="Arial" w:eastAsia="Arial" w:hAnsi="Arial"/>
          <w:color w:val="444444"/>
          <w:sz w:val="20"/>
          <w:szCs w:val="20"/>
          <w:rtl w:val="0"/>
        </w:rPr>
        <w:t xml:space="preserve">purchased-power agreements for default service and reconciliation reform — keeping the current rate structure working.</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HB1430 (2024), HB537 and HB539 (2025), HB1432 (2026): </w:t>
      </w:r>
      <w:r>
        <w:rPr>
          <w:rFonts w:ascii="Arial" w:cs="Arial" w:eastAsia="Arial" w:hAnsi="Arial"/>
          <w:color w:val="444444"/>
          <w:sz w:val="20"/>
          <w:szCs w:val="20"/>
          <w:rtl w:val="0"/>
        </w:rPr>
        <w:t xml:space="preserve">the condominium electric-rate bills — the rate-classification question that keeps returning; killed four times.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HB1617 (2024) and HB680 (2025): </w:t>
      </w:r>
      <w:r>
        <w:rPr>
          <w:rFonts w:ascii="Arial" w:cs="Arial" w:eastAsia="Arial" w:hAnsi="Arial"/>
          <w:color w:val="444444"/>
          <w:sz w:val="20"/>
          <w:szCs w:val="20"/>
          <w:rtl w:val="0"/>
        </w:rPr>
        <w:t xml:space="preserve">default-service procurement reform (interim study) and shared-meter billing for homeowners associations (killed).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SB597 (2026): </w:t>
      </w:r>
      <w:r>
        <w:rPr>
          <w:rFonts w:ascii="Arial" w:cs="Arial" w:eastAsia="Arial" w:hAnsi="Arial"/>
          <w:color w:val="444444"/>
          <w:sz w:val="20"/>
          <w:szCs w:val="20"/>
          <w:rtl w:val="0"/>
        </w:rPr>
        <w:t xml:space="preserve">rate increases tied to inflation-adjusted thresholds with performance metrics; interim study — the proposal's nearest live vehicle.</w:t>
      </w:r>
    </w:p>
    <w:p>
      <w:pPr>
        <w:pBdr>
          <w:top w:color="c8cdd6" w:space="4" w:sz="6" w:val="single"/>
        </w:pBdr>
        <w:spacing w:before="40" w:after="0" w:line="276" w:lineRule="auto"/>
        <w:rPr/>
      </w:pPr>
    </w:p>
    <w:p>
      <w:pPr>
        <w:keepNext/>
        <w:pageBreakBefore/>
        <w:spacing w:before="100" w:after="40" w:line="276" w:lineRule="auto"/>
        <w:rPr/>
        <w:sectPr>
          <w:footerReference r:id="rId7" w:type="default"/>
          <w:pgSz w:h="15840" w:w="12240" w:orient="portrait"/>
          <w:pgMar w:bottom="864" w:top="864" w:left="864" w:right="864" w:header="720" w:footer="144"/>
          <w:pgNumType w:start="1"/>
        </w:sectPr>
      </w:pPr>
      <w:r>
        <w:rPr>
          <w:rFonts w:ascii="Arial" w:cs="Arial" w:eastAsia="Arial" w:hAnsi="Arial"/>
          <w:b w:val="1"/>
          <w:bCs w:val="1"/>
          <w:color w:val="c0392b"/>
          <w:sz w:val="25"/>
          <w:szCs w:val="25"/>
          <w:rtl w:val="0"/>
        </w:rPr>
        <w:t xml:space="preserve">GLOSSARY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Aggregation / community power:</w:t>
      </w:r>
      <w:r>
        <w:rPr>
          <w:rFonts w:ascii="Arial" w:cs="Arial" w:eastAsia="Arial" w:hAnsi="Arial"/>
          <w:color w:val="444444"/>
          <w:sz w:val="20"/>
          <w:szCs w:val="20"/>
          <w:rtl w:val="0"/>
        </w:rPr>
        <w:t xml:space="preserve"> A city, town, or county buying electricity for its residents in bulk under RSA 53-E — the fast-growing alternative to utility default service; six laws in this record built its machinery.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Burgess BioPower:</w:t>
      </w:r>
      <w:r>
        <w:rPr>
          <w:rFonts w:ascii="Arial" w:cs="Arial" w:eastAsia="Arial" w:hAnsi="Arial"/>
          <w:color w:val="444444"/>
          <w:sz w:val="20"/>
          <w:szCs w:val="20"/>
          <w:rtl w:val="0"/>
        </w:rPr>
        <w:t xml:space="preserve"> The Berlin wood-burning power plant whose above-market subsidy fights produced a 2022 law and a 2023 veto.</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C-PACE / C-PACER:</w:t>
      </w:r>
      <w:r>
        <w:rPr>
          <w:rFonts w:ascii="Arial" w:cs="Arial" w:eastAsia="Arial" w:hAnsi="Arial"/>
          <w:color w:val="444444"/>
          <w:sz w:val="20"/>
          <w:szCs w:val="20"/>
          <w:rtl w:val="0"/>
        </w:rPr>
        <w:t xml:space="preserve"> Commercial property assessed clean energy (and resiliency) — building-efficiency financing repaid on the property tax bill; enabled statewide in 2023–2026.</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Default service:</w:t>
      </w:r>
      <w:r>
        <w:rPr>
          <w:rFonts w:ascii="Arial" w:cs="Arial" w:eastAsia="Arial" w:hAnsi="Arial"/>
          <w:color w:val="444444"/>
          <w:sz w:val="20"/>
          <w:szCs w:val="20"/>
          <w:rtl w:val="0"/>
        </w:rPr>
        <w:t xml:space="preserve"> The electricity supply a utility provides to customers who have not chosen a competitive supplier or community power program; its rates track wholesale markets.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Department of Energy (RSA 12-P):</w:t>
      </w:r>
      <w:r>
        <w:rPr>
          <w:rFonts w:ascii="Arial" w:cs="Arial" w:eastAsia="Arial" w:hAnsi="Arial"/>
          <w:color w:val="444444"/>
          <w:sz w:val="20"/>
          <w:szCs w:val="20"/>
          <w:rtl w:val="0"/>
        </w:rPr>
        <w:t xml:space="preserve"> The cabinet agency created inside the 2021 budget trailer that took over most energy regulation, programs, and planning from the PUC.</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Electric Assistance Program:</w:t>
      </w:r>
      <w:r>
        <w:rPr>
          <w:rFonts w:ascii="Arial" w:cs="Arial" w:eastAsia="Arial" w:hAnsi="Arial"/>
          <w:color w:val="444444"/>
          <w:sz w:val="20"/>
          <w:szCs w:val="20"/>
          <w:rtl w:val="0"/>
        </w:rPr>
        <w:t xml:space="preserve"> The ratepayer-funded discount on low-income electric bills; moved to the Department of Energy in 2025.</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ISO-New England:</w:t>
      </w:r>
      <w:r>
        <w:rPr>
          <w:rFonts w:ascii="Arial" w:cs="Arial" w:eastAsia="Arial" w:hAnsi="Arial"/>
          <w:color w:val="444444"/>
          <w:sz w:val="20"/>
          <w:szCs w:val="20"/>
          <w:rtl w:val="0"/>
        </w:rPr>
        <w:t xml:space="preserve"> The regional operator whose wholesale markets set the price of the energy in every New Hampshire electric bill; a 2025 law ordered a study of withdrawing from it.</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Net energy metering (RSA 362-A):</w:t>
      </w:r>
      <w:r>
        <w:rPr>
          <w:rFonts w:ascii="Arial" w:cs="Arial" w:eastAsia="Arial" w:hAnsi="Arial"/>
          <w:color w:val="444444"/>
          <w:sz w:val="20"/>
          <w:szCs w:val="20"/>
          <w:rtl w:val="0"/>
        </w:rPr>
        <w:t xml:space="preserve"> Billing that credits customer-generators — rooftop solar, small hydro, group hosts — for power they send to the grid; the capacity caps were the period's longest fight.</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Non-wire alternatives:</w:t>
      </w:r>
      <w:r>
        <w:rPr>
          <w:rFonts w:ascii="Arial" w:cs="Arial" w:eastAsia="Arial" w:hAnsi="Arial"/>
          <w:color w:val="444444"/>
          <w:sz w:val="20"/>
          <w:szCs w:val="20"/>
          <w:rtl w:val="0"/>
        </w:rPr>
        <w:t xml:space="preserve"> Storage, efficiency, and local generation used instead of building new poles-and-wires capacity; the 2025 rate-design package would have required utilities to weigh them.</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NHSaves:</w:t>
      </w:r>
      <w:r>
        <w:rPr>
          <w:rFonts w:ascii="Arial" w:cs="Arial" w:eastAsia="Arial" w:hAnsi="Arial"/>
          <w:color w:val="444444"/>
          <w:sz w:val="20"/>
          <w:szCs w:val="20"/>
          <w:rtl w:val="0"/>
        </w:rPr>
        <w:t xml:space="preserve"> The utilities' energy efficiency programs — audits, weatherization, rebates — funded by the system benefits charge.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Office of the Consumer Advocate:</w:t>
      </w:r>
      <w:r>
        <w:rPr>
          <w:rFonts w:ascii="Arial" w:cs="Arial" w:eastAsia="Arial" w:hAnsi="Arial"/>
          <w:color w:val="444444"/>
          <w:sz w:val="20"/>
          <w:szCs w:val="20"/>
          <w:rtl w:val="0"/>
        </w:rPr>
        <w:t xml:space="preserve"> The independent state office that represents residential ratepayers in utility cases.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Public Utilities Commission (RSA 363):</w:t>
      </w:r>
      <w:r>
        <w:rPr>
          <w:rFonts w:ascii="Arial" w:cs="Arial" w:eastAsia="Arial" w:hAnsi="Arial"/>
          <w:color w:val="444444"/>
          <w:sz w:val="20"/>
          <w:szCs w:val="20"/>
          <w:rtl w:val="0"/>
        </w:rPr>
        <w:t xml:space="preserve"> The three-member tribunal that decides utility rate cases; rebuilt smaller and full-time by the 2021 trailer, with a revolving-door ban.</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Renewable energy fund (RSA 362-F:10):</w:t>
      </w:r>
      <w:r>
        <w:rPr>
          <w:rFonts w:ascii="Arial" w:cs="Arial" w:eastAsia="Arial" w:hAnsi="Arial"/>
          <w:color w:val="444444"/>
          <w:sz w:val="20"/>
          <w:szCs w:val="20"/>
          <w:rtl w:val="0"/>
        </w:rPr>
        <w:t xml:space="preserve"> The fund fed by RPS compliance payments that pays solar rebates and low-income clean-energy grants; swept into the general fund by the 2025 trailer.</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Renewable portfolio standard (RPS, RSA 362-F):</w:t>
      </w:r>
      <w:r>
        <w:rPr>
          <w:rFonts w:ascii="Arial" w:cs="Arial" w:eastAsia="Arial" w:hAnsi="Arial"/>
          <w:color w:val="444444"/>
          <w:sz w:val="20"/>
          <w:szCs w:val="20"/>
          <w:rtl w:val="0"/>
        </w:rPr>
        <w:t xml:space="preserve"> The requirement that electricity suppliers buy set percentages of renewable power; raise attempts were vetoed in 2020 and phase-out attempts reached interim study twice.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RGGI (RSA 125-O):</w:t>
      </w:r>
      <w:r>
        <w:rPr>
          <w:rFonts w:ascii="Arial" w:cs="Arial" w:eastAsia="Arial" w:hAnsi="Arial"/>
          <w:color w:val="444444"/>
          <w:sz w:val="20"/>
          <w:szCs w:val="20"/>
          <w:rtl w:val="0"/>
        </w:rPr>
        <w:t xml:space="preserve"> The Regional Greenhouse Gas Initiative, the interstate carbon cap-and-trade program for power plants; most consumer proceeds are rebated on electric bills.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Site Evaluation Committee (RSA 162-H):</w:t>
      </w:r>
      <w:r>
        <w:rPr>
          <w:rFonts w:ascii="Arial" w:cs="Arial" w:eastAsia="Arial" w:hAnsi="Arial"/>
          <w:color w:val="444444"/>
          <w:sz w:val="20"/>
          <w:szCs w:val="20"/>
          <w:rtl w:val="0"/>
        </w:rPr>
        <w:t xml:space="preserve"> The state board that approves large energy facilities — transmission lines, wind plants, storage; shrunk and reattached in 2021, rewritten in 2024.</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System benefits charge (SBC):</w:t>
      </w:r>
      <w:r>
        <w:rPr>
          <w:rFonts w:ascii="Arial" w:cs="Arial" w:eastAsia="Arial" w:hAnsi="Arial"/>
          <w:color w:val="444444"/>
          <w:sz w:val="20"/>
          <w:szCs w:val="20"/>
          <w:rtl w:val="0"/>
        </w:rPr>
        <w:t xml:space="preserve"> The line on every electric bill that funds NHSaves and the Electric Assistance Program; capped to a statutory formula in 2022, with increases needing legislative approval since 2023.</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SWEPT / utility property tax (RSA 83-F):</w:t>
      </w:r>
      <w:r>
        <w:rPr>
          <w:rFonts w:ascii="Arial" w:cs="Arial" w:eastAsia="Arial" w:hAnsi="Arial"/>
          <w:color w:val="444444"/>
          <w:sz w:val="20"/>
          <w:szCs w:val="20"/>
          <w:rtl w:val="0"/>
        </w:rPr>
        <w:t xml:space="preserve"> The property taxes on generating stations and utility infrastructure — the host-community revenue question a 2025 law standardized for electric generators.</w:t>
      </w:r>
    </w:p>
    <w:p>
      <w:pPr>
        <w:numPr>
          <w:ilvl w:val="0"/>
          <w:numId w:val="2"/>
        </w:numPr>
        <w:spacing w:after="0" w:afterAutospacing="0" w:line="276" w:lineRule="auto"/>
        <w:ind w:left="720" w:hanging="360"/>
        <w:rPr>
          <w:rFonts w:ascii="Arial" w:cs="Arial" w:eastAsia="Arial" w:hAnsi="Arial"/>
          <w:sz w:val="10"/>
          <w:szCs w:val="10"/>
        </w:rPr>
        <w:sectPr>
          <w:type w:val="continuous"/>
          <w:pgSz w:h="15840" w:w="12240" w:orient="portrait"/>
          <w:pgMar w:bottom="864" w:top="864" w:left="864" w:right="864" w:header="720" w:footer="720"/>
          <w:cols w:equalWidth="0" w:num="2">
            <w:col w:space="240" w:w="5135.999999999999"/>
            <w:col w:space="0" w:w="5135.999999999999"/>
          </w:cols>
        </w:sectPr>
      </w:pPr>
      <w:r>
        <w:rPr>
          <w:rFonts w:ascii="Arial" w:cs="Arial" w:eastAsia="Arial" w:hAnsi="Arial"/>
          <w:b w:val="1"/>
          <w:bCs w:val="1"/>
          <w:color w:val="1a2d4f"/>
          <w:sz w:val="20"/>
          <w:szCs w:val="20"/>
          <w:rtl w:val="0"/>
        </w:rPr>
        <w:t xml:space="preserve">Time-of-use rates:</w:t>
      </w:r>
      <w:r>
        <w:rPr>
          <w:rFonts w:ascii="Arial" w:cs="Arial" w:eastAsia="Arial" w:hAnsi="Arial"/>
          <w:color w:val="444444"/>
          <w:sz w:val="20"/>
          <w:szCs w:val="20"/>
          <w:rtl w:val="0"/>
        </w:rPr>
        <w:t xml:space="preserve"> Electricity prices that vary by hour so customers can shift use off the peaks; they depend on advanced meters and usage data.</w:t>
      </w:r>
    </w:p>
    <w:p>
      <w:pPr>
        <w:keepNext/>
        <w:spacing w:before="100" w:after="40" w:line="276" w:lineRule="auto"/>
        <w:rPr/>
        <w:sectPr>
          <w:type w:val="nextPage"/>
          <w:pgSz w:h="15840" w:w="12240" w:orient="portrait"/>
          <w:pgMar w:bottom="864" w:top="864" w:left="864" w:right="864" w:header="720" w:footer="720"/>
        </w:sectPr>
      </w:pPr>
      <w:r>
        <w:rPr>
          <w:rFonts w:ascii="Arial" w:cs="Arial" w:eastAsia="Arial" w:hAnsi="Arial"/>
          <w:b w:val="1"/>
          <w:bCs w:val="1"/>
          <w:color w:val="c0392b"/>
          <w:sz w:val="25"/>
          <w:szCs w:val="25"/>
          <w:rtl w:val="0"/>
        </w:rPr>
        <w:t xml:space="preserve">LEGISLATIVE PROCESS GLOSSARY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HB / SB / CACR / HR:</w:t>
      </w:r>
      <w:r>
        <w:rPr>
          <w:rFonts w:ascii="Arial" w:cs="Arial" w:eastAsia="Arial" w:hAnsi="Arial"/>
          <w:color w:val="444444"/>
          <w:sz w:val="20"/>
          <w:szCs w:val="20"/>
          <w:rtl w:val="0"/>
        </w:rPr>
        <w:t xml:space="preserve"> House Bill and Senate Bill (the chamber a bill started in, plus a number); CACR is a proposed constitutional amendment; HR is a House resolution, which expresses a position but is not law. Numbering restarts each biennium, so the same number in different years is usually a different bill.</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Chambers:</w:t>
      </w:r>
      <w:r>
        <w:rPr>
          <w:rFonts w:ascii="Arial" w:cs="Arial" w:eastAsia="Arial" w:hAnsi="Arial"/>
          <w:color w:val="444444"/>
          <w:sz w:val="20"/>
          <w:szCs w:val="20"/>
          <w:rtl w:val="0"/>
        </w:rPr>
        <w:t xml:space="preserve"> The 400-member House of Representatives and the 24-member Senate — the largest and one of the smallest state chambers in the country. A bill must pass both to reach the Governor.</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Session / biennium:</w:t>
      </w:r>
      <w:r>
        <w:rPr>
          <w:rFonts w:ascii="Arial" w:cs="Arial" w:eastAsia="Arial" w:hAnsi="Arial"/>
          <w:color w:val="444444"/>
          <w:sz w:val="20"/>
          <w:szCs w:val="20"/>
          <w:rtl w:val="0"/>
        </w:rPr>
        <w:t xml:space="preserve"> The Legislature meets every year, but bills live inside a two-year biennium (2021–22, 2023–24, 2025–26); a first-year bill can be carried into the second year under the same number.</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Budget trailer (HB2):</w:t>
      </w:r>
      <w:r>
        <w:rPr>
          <w:rFonts w:ascii="Arial" w:cs="Arial" w:eastAsia="Arial" w:hAnsi="Arial"/>
          <w:color w:val="444444"/>
          <w:sz w:val="20"/>
          <w:szCs w:val="20"/>
          <w:rtl w:val="0"/>
        </w:rPr>
        <w:t xml:space="preserve"> The omnibus policy bill that accompanies each two-year budget (HB1 carries the dollars). Dozens to hundreds of unrelated law changes ride in numbered sections — much of NH energy law is made here. Votes are on the whole trailer, never on one section.</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Chapter law:</w:t>
      </w:r>
      <w:r>
        <w:rPr>
          <w:rFonts w:ascii="Arial" w:cs="Arial" w:eastAsia="Arial" w:hAnsi="Arial"/>
          <w:color w:val="444444"/>
          <w:sz w:val="20"/>
          <w:szCs w:val="20"/>
          <w:rtl w:val="0"/>
        </w:rPr>
        <w:t xml:space="preserve"> A bill that becomes law is assigned a chapter number for its year — "Chapter 312" — the citation these documents use for enacted bills.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Committee report — Ought to Pass (OTP) / OTP with Amendment (OTPA) / Inexpedient to Legislate (ITL):</w:t>
      </w:r>
      <w:r>
        <w:rPr>
          <w:rFonts w:ascii="Arial" w:cs="Arial" w:eastAsia="Arial" w:hAnsi="Arial"/>
          <w:color w:val="444444"/>
          <w:sz w:val="20"/>
          <w:szCs w:val="20"/>
          <w:rtl w:val="0"/>
        </w:rPr>
        <w:t xml:space="preserve"> The committee's recommendation to the floor: pass, pass as changed, or kill. "Inexpedient to Legislate" adopted by either chamber is the standard way a New Hampshire bill dies.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Consent calendar:</w:t>
      </w:r>
      <w:r>
        <w:rPr>
          <w:rFonts w:ascii="Arial" w:cs="Arial" w:eastAsia="Arial" w:hAnsi="Arial"/>
          <w:color w:val="444444"/>
          <w:sz w:val="20"/>
          <w:szCs w:val="20"/>
          <w:rtl w:val="0"/>
        </w:rPr>
        <w:t xml:space="preserve"> A batch of uncontested committee recommendations approved in one voice vote; many bills die (or pass) this way without an individual vote.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Roll call / division / voice vote:</w:t>
      </w:r>
      <w:r>
        <w:rPr>
          <w:rFonts w:ascii="Arial" w:cs="Arial" w:eastAsia="Arial" w:hAnsi="Arial"/>
          <w:color w:val="444444"/>
          <w:sz w:val="20"/>
          <w:szCs w:val="20"/>
          <w:rtl w:val="0"/>
        </w:rPr>
        <w:t xml:space="preserve"> A roll call records each member's vote by name; a division counts votes without names; a voice vote records nothing. Many decisive outcomes in these documents happened on division or voice votes, which is why they carry no member-level tallies.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Laid on the table:</w:t>
      </w:r>
      <w:r>
        <w:rPr>
          <w:rFonts w:ascii="Arial" w:cs="Arial" w:eastAsia="Arial" w:hAnsi="Arial"/>
          <w:color w:val="444444"/>
          <w:sz w:val="20"/>
          <w:szCs w:val="20"/>
          <w:rtl w:val="0"/>
        </w:rPr>
        <w:t xml:space="preserve"> A motion that sets a bill aside; unless a later motion removes it, the bill dies there at the session's end.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Interim study:</w:t>
      </w:r>
      <w:r>
        <w:rPr>
          <w:rFonts w:ascii="Arial" w:cs="Arial" w:eastAsia="Arial" w:hAnsi="Arial"/>
          <w:color w:val="444444"/>
          <w:sz w:val="20"/>
          <w:szCs w:val="20"/>
          <w:rtl w:val="0"/>
        </w:rPr>
        <w:t xml:space="preserve"> A committee keeps the bill for study between sessions instead of passing or killing it; the bill itself is dead, but the idea may return with a recommendation.</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Retained / rereferred:</w:t>
      </w:r>
      <w:r>
        <w:rPr>
          <w:rFonts w:ascii="Arial" w:cs="Arial" w:eastAsia="Arial" w:hAnsi="Arial"/>
          <w:color w:val="444444"/>
          <w:sz w:val="20"/>
          <w:szCs w:val="20"/>
          <w:rtl w:val="0"/>
        </w:rPr>
        <w:t xml:space="preserve"> The House retains, the Senate rereferrs — the committee keeps a first-year bill over the summer and acts on it in the second year of the biennium.</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Committee of conference:</w:t>
      </w:r>
      <w:r>
        <w:rPr>
          <w:rFonts w:ascii="Arial" w:cs="Arial" w:eastAsia="Arial" w:hAnsi="Arial"/>
          <w:color w:val="444444"/>
          <w:sz w:val="20"/>
          <w:szCs w:val="20"/>
          <w:rtl w:val="0"/>
        </w:rPr>
        <w:t xml:space="preserve"> Negotiators from both chambers reconcile differing versions; if they cannot agree, or a chamber rejects the report, the bill dies "between the chambers."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Concur / nonconcur:</w:t>
      </w:r>
      <w:r>
        <w:rPr>
          <w:rFonts w:ascii="Arial" w:cs="Arial" w:eastAsia="Arial" w:hAnsi="Arial"/>
          <w:color w:val="444444"/>
          <w:sz w:val="20"/>
          <w:szCs w:val="20"/>
          <w:rtl w:val="0"/>
        </w:rPr>
        <w:t xml:space="preserve"> When the second chamber amends a bill, the first chamber must accept (concur in) the change, ask for a conference, or let the bill die.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Senate Rule 3-23 deadline:</w:t>
      </w:r>
      <w:r>
        <w:rPr>
          <w:rFonts w:ascii="Arial" w:cs="Arial" w:eastAsia="Arial" w:hAnsi="Arial"/>
          <w:color w:val="444444"/>
          <w:sz w:val="20"/>
          <w:szCs w:val="20"/>
          <w:rtl w:val="0"/>
        </w:rPr>
        <w:t xml:space="preserve"> The Senate's internal end-of-year deadline; bills still pending are automatically declared Inexpedient to Legislate — the utility-property-tax Senate bill and the transmission-agreements bill died this way.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Governor and Executive Council:</w:t>
      </w:r>
      <w:r>
        <w:rPr>
          <w:rFonts w:ascii="Arial" w:cs="Arial" w:eastAsia="Arial" w:hAnsi="Arial"/>
          <w:color w:val="444444"/>
          <w:sz w:val="20"/>
          <w:szCs w:val="20"/>
          <w:rtl w:val="0"/>
        </w:rPr>
        <w:t xml:space="preserve"> The Governor signs or vetoes bills; the elected five-member Executive Council confirms appointments — including the energy commissioner and the public utilities commissioners these documents mention.</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Veto / override:</w:t>
      </w:r>
      <w:r>
        <w:rPr>
          <w:rFonts w:ascii="Arial" w:cs="Arial" w:eastAsia="Arial" w:hAnsi="Arial"/>
          <w:color w:val="444444"/>
          <w:sz w:val="20"/>
          <w:szCs w:val="20"/>
          <w:rtl w:val="0"/>
        </w:rPr>
        <w:t xml:space="preserve"> The Governor's rejection of a passed bill; overriding takes two-thirds of each chamber. Seven energy bills were vetoed in this record, and no override succeeded.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Sponsor / prime sponsor:</w:t>
      </w:r>
      <w:r>
        <w:rPr>
          <w:rFonts w:ascii="Arial" w:cs="Arial" w:eastAsia="Arial" w:hAnsi="Arial"/>
          <w:color w:val="444444"/>
          <w:sz w:val="20"/>
          <w:szCs w:val="20"/>
          <w:rtl w:val="0"/>
        </w:rPr>
        <w:t xml:space="preserve"> The lawmakers who formally introduce a bill; the prime sponsor is its lead author. Cross-party sponsor teams appear throughout the net-metering, community-power, and grid-infrastructure records.</w:t>
      </w:r>
    </w:p>
    <w:p>
      <w:pPr>
        <w:numPr>
          <w:ilvl w:val="0"/>
          <w:numId w:val="2"/>
        </w:numPr>
        <w:spacing w:after="0" w:afterAutospacing="0" w:line="276" w:lineRule="auto"/>
        <w:ind w:left="720" w:hanging="360"/>
        <w:rPr>
          <w:rFonts w:ascii="Arial" w:cs="Arial" w:eastAsia="Arial" w:hAnsi="Arial"/>
          <w:sz w:val="10"/>
          <w:szCs w:val="10"/>
        </w:rPr>
        <w:sectPr>
          <w:type w:val="continuous"/>
          <w:pgSz w:h="15840" w:w="12240" w:orient="portrait"/>
          <w:pgMar w:bottom="864" w:top="864" w:left="864" w:right="864" w:header="720" w:footer="720"/>
          <w:cols w:equalWidth="0" w:num="2">
            <w:col w:space="240" w:w="5135.999999999999"/>
            <w:col w:space="0" w:w="5135.999999999999"/>
          </w:cols>
        </w:sectPr>
      </w:pPr>
      <w:r>
        <w:rPr>
          <w:rFonts w:ascii="Arial" w:cs="Arial" w:eastAsia="Arial" w:hAnsi="Arial"/>
          <w:b w:val="1"/>
          <w:bCs w:val="1"/>
          <w:color w:val="1a2d4f"/>
          <w:sz w:val="20"/>
          <w:szCs w:val="20"/>
          <w:rtl w:val="0"/>
        </w:rPr>
        <w:t xml:space="preserve">Vote pairs such as "204–165":</w:t>
      </w:r>
      <w:r>
        <w:rPr>
          <w:rFonts w:ascii="Arial" w:cs="Arial" w:eastAsia="Arial" w:hAnsi="Arial"/>
          <w:color w:val="444444"/>
          <w:sz w:val="20"/>
          <w:szCs w:val="20"/>
          <w:rtl w:val="0"/>
        </w:rPr>
        <w:t xml:space="preserve"> Floor votes are yes–no tallies, one per chamber; in the 400-member House a bill can pass by a wide margin and still die in the 24-member Senate.</w:t>
      </w:r>
    </w:p>
    <w:sectPr>
      <w:type w:val="continuous"/>
      <w:pgSz w:h="15840" w:w="12240" w:orient="portrait"/>
      <w:pgMar w:bottom="864" w:top="864" w:left="864" w:right="86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i w:val="1"/>
        <w:iCs w:val="1"/>
        <w:color w:val="cccccc"/>
      </w:rPr>
    </w:pPr>
    <w:r w:rsidDel="00000000" w:rsidR="00000000" w:rsidRPr="00000000">
      <w:rPr>
        <w:i w:val="1"/>
        <w:iCs w:val="1"/>
        <w:color w:val="cccccc"/>
        <w:rtl w:val="0"/>
      </w:rPr>
      <w:t xml:space="preserve">NH1 Energy Legislative Brief v1.0</w:t>
      <w:tab/>
      <w:tab/>
      <w:tab/>
      <w:tab/>
      <w:tab/>
      <w:tab/>
      <w:tab/>
      <w:tab/>
      <w:tab/>
      <w:tab/>
    </w:r>
    <w:r w:rsidDel="00000000" w:rsidR="00000000" w:rsidRPr="00000000">
      <w:rPr>
        <w:i w:val="1"/>
        <w:iCs w:val="1"/>
        <w:color w:val="cccccc"/>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c0392b"/>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c0392b"/>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wUawPZ/GZYDXg+9is0jjCDQJLw==">CgMxLjA4AHIhMTZ3NGM5UDN1RzN1VnB1Wi1valJ6V1JEUlBEaWVNTlhE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