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line="276" w:lineRule="auto"/>
        <w:rPr/>
      </w:pPr>
      <w:r>
        <w:rPr>
          <w:rFonts w:ascii="Arial" w:cs="Arial" w:eastAsia="Arial" w:hAnsi="Arial"/>
          <w:b w:val="1"/>
          <w:bCs w:val="1"/>
          <w:color w:val="1a2d4f"/>
          <w:sz w:val="36"/>
          <w:szCs w:val="36"/>
          <w:rtl w:val="0"/>
        </w:rPr>
        <w:t xml:space="preserve">Housing Affordability in New Hampshire</w:t>
      </w:r>
    </w:p>
    <w:p>
      <w:pPr>
        <w:spacing w:after="120" w:line="276" w:lineRule="auto"/>
        <w:rPr/>
      </w:pPr>
      <w:r>
        <w:rPr>
          <w:rFonts w:ascii="Arial" w:cs="Arial" w:eastAsia="Arial" w:hAnsi="Arial"/>
          <w:color w:val="444444"/>
          <w:sz w:val="20"/>
          <w:szCs w:val="20"/>
          <w:rtl w:val="0"/>
        </w:rPr>
        <w:t xml:space="preserve">The legislative record behind Granite Staters' housing proposals, 2020–2026 — organized by how close each idea has come to becoming law.</w:t>
      </w:r>
    </w:p>
    <w:p>
      <w:pPr>
        <w:spacing w:before="84" w:after="36" w:line="276" w:lineRule="auto"/>
        <w:rPr/>
      </w:pPr>
      <w:r>
        <w:rPr>
          <w:rFonts w:ascii="Arial" w:cs="Arial" w:eastAsia="Arial" w:hAnsi="Arial"/>
          <w:b w:val="1"/>
          <w:bCs w:val="1"/>
          <w:color w:val="c0392b"/>
          <w:sz w:val="25"/>
          <w:szCs w:val="25"/>
          <w:rtl w:val="0"/>
        </w:rPr>
        <w:t xml:space="preserve">WHAT THIS BRIEF COVERS</w:t>
      </w:r>
    </w:p>
    <w:p>
      <w:pPr>
        <w:spacing w:after="49" w:line="276" w:lineRule="auto"/>
        <w:rPr/>
      </w:pPr>
      <w:r>
        <w:rPr>
          <w:rFonts w:ascii="Arial" w:cs="Arial" w:eastAsia="Arial" w:hAnsi="Arial"/>
          <w:color w:val="444444"/>
          <w:sz w:val="20"/>
          <w:szCs w:val="20"/>
          <w:rtl w:val="0"/>
        </w:rPr>
        <w:t xml:space="preserve">New Hampshire's General Court took up 289 housing bills across the 2020–2026 sessions, and 59 became law. The record splits sharply by subject: bills that let more homes be built began passing in 2024 and accelerated through 2026, usually on cross-party votes; bills that touch the cost of renting died in the House in every session; and the money moves inside HB2, the budget trailer, even when the same dollars fail as standalone bills.</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289</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housing bills, 2020–2026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59</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23</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core housing sections enacted inside the last three budget trailers (HB2)</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3 of 5</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never filed as a bill</w:t>
            </w:r>
            <w:r w:rsidDel="00000000" w:rsidR="00000000" w:rsidRPr="00000000">
              <w:rPr>
                <w:rtl w:val="0"/>
              </w:rPr>
            </w:r>
          </w:p>
        </w:tc>
      </w:tr>
    </w:tbl>
    <w:p>
      <w:pPr>
        <w:spacing w:after="40" w:line="276" w:lineRule="auto"/>
        <w:rPr/>
      </w:pPr>
    </w:p>
    <w:p>
      <w:pPr>
        <w:spacing w:before="84" w:after="36" w:line="276" w:lineRule="auto"/>
        <w:rPr/>
      </w:pPr>
      <w:r>
        <w:rPr>
          <w:rFonts w:ascii="Arial" w:cs="Arial" w:eastAsia="Arial" w:hAnsi="Arial"/>
          <w:b w:val="1"/>
          <w:bCs w:val="1"/>
          <w:color w:val="c0392b"/>
          <w:sz w:val="25"/>
          <w:szCs w:val="25"/>
          <w:rtl w:val="0"/>
        </w:rPr>
        <w:t xml:space="preserve">ALSO IN THE BUDGET BILL (HB2)</w:t>
      </w:r>
    </w:p>
    <w:p>
      <w:pPr>
        <w:spacing w:after="49" w:line="276" w:lineRule="auto"/>
        <w:rPr/>
      </w:pPr>
      <w:r>
        <w:rPr>
          <w:rFonts w:ascii="Arial" w:cs="Arial" w:eastAsia="Arial" w:hAnsi="Arial"/>
          <w:color w:val="444444"/>
          <w:sz w:val="20"/>
          <w:szCs w:val="20"/>
          <w:rtl w:val="0"/>
        </w:rPr>
        <w:t xml:space="preserve">Much of New Hampshire's housing law is made inside HB2, the omnibus policy bill that rides with each two-year budget. The last three trailers carried 23 core housing sections: $25 million for the Affordable Housing Fund in 2021 and again in 2023; $10 million for InvestNH and the Housing Champion programs (2023); Partners in Housing for workforce homes on public land (2025); $10 million in shelter funding in 2023 and $5 million a year of opioid-settlement shelter money in 2025. HB2 2023 also repealed the Board of Manufactured Housing, and HB2 2025 cut the Housing Appeals Board from three members to two serving at the Governor and Council's pleasure. Votes on HB2 are on the whole trailer — never on a single section; the 2025 trailer passed the House by one vote, 184–183.</w:t>
      </w:r>
    </w:p>
    <w:p>
      <w:pPr>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spacing w:after="36" w:line="276" w:lineRule="auto"/>
        <w:rPr/>
      </w:pPr>
      <w:r>
        <w:rPr>
          <w:rFonts w:ascii="Arial" w:cs="Arial" w:eastAsia="Arial" w:hAnsi="Arial"/>
          <w:i w:val="1"/>
          <w:iCs w:val="1"/>
          <w:color w:val="666666"/>
          <w:sz w:val="20"/>
          <w:szCs w:val="20"/>
          <w:rtl w:val="0"/>
        </w:rPr>
        <w:t xml:space="preserve">These bills passed both houses; a veto or the last procedural step stopped them.</w:t>
      </w:r>
    </w:p>
    <w:p>
      <w:pPr>
        <w:spacing w:before="70" w:after="30" w:line="276" w:lineRule="auto"/>
        <w:rPr/>
      </w:pPr>
      <w:r>
        <w:rPr>
          <w:rFonts w:ascii="Arial" w:cs="Arial" w:eastAsia="Arial" w:hAnsi="Arial"/>
          <w:b w:val="1"/>
          <w:bCs w:val="1"/>
          <w:color w:val="2e4a78"/>
          <w:sz w:val="24"/>
          <w:szCs w:val="24"/>
          <w:rtl w:val="0"/>
        </w:rPr>
        <w:t xml:space="preserve">Vetoed at the governor's desk</w:t>
      </w:r>
    </w:p>
    <w:p>
      <w:pPr>
        <w:spacing w:after="49" w:line="276" w:lineRule="auto"/>
        <w:rPr/>
      </w:pPr>
      <w:r>
        <w:rPr>
          <w:rFonts w:ascii="Arial" w:cs="Arial" w:eastAsia="Arial" w:hAnsi="Arial"/>
          <w:b w:val="1"/>
          <w:bCs w:val="1"/>
          <w:color w:val="1a2d4f"/>
          <w:sz w:val="20"/>
          <w:szCs w:val="20"/>
          <w:rtl w:val="0"/>
        </w:rPr>
        <w:t xml:space="preserve">The COVID eviction and foreclosure pause — HB1247 (2020).</w:t>
      </w:r>
      <w:r>
        <w:rPr>
          <w:rFonts w:ascii="Arial" w:cs="Arial" w:eastAsia="Arial" w:hAnsi="Arial"/>
          <w:color w:val="444444"/>
          <w:sz w:val="20"/>
          <w:szCs w:val="20"/>
          <w:rtl w:val="0"/>
        </w:rPr>
        <w:t xml:space="preserve"> Passed both chambers during the pandemic session and was vetoed; the House override failed 187–148, short of two-thirds. </w:t>
      </w:r>
      <w:r>
        <w:rPr>
          <w:rFonts w:ascii="Arial" w:cs="Arial" w:eastAsia="Arial" w:hAnsi="Arial"/>
          <w:b w:val="1"/>
          <w:bCs w:val="1"/>
          <w:color w:val="1a2d4f"/>
          <w:sz w:val="20"/>
          <w:szCs w:val="20"/>
          <w:rtl w:val="0"/>
        </w:rPr>
        <w:t xml:space="preserve">Manufactured-housing boards — SB318 (2024).</w:t>
      </w:r>
      <w:r>
        <w:rPr>
          <w:rFonts w:ascii="Arial" w:cs="Arial" w:eastAsia="Arial" w:hAnsi="Arial"/>
          <w:color w:val="444444"/>
          <w:sz w:val="20"/>
          <w:szCs w:val="20"/>
          <w:rtl w:val="0"/>
        </w:rPr>
        <w:t xml:space="preserve"> Would have converted the installation-standards board into an advisory board; vetoed, and the override attempt failed. </w:t>
      </w:r>
      <w:r>
        <w:rPr>
          <w:rFonts w:ascii="Arial" w:cs="Arial" w:eastAsia="Arial" w:hAnsi="Arial"/>
          <w:b w:val="1"/>
          <w:bCs w:val="1"/>
          <w:color w:val="1a2d4f"/>
          <w:sz w:val="20"/>
          <w:szCs w:val="20"/>
          <w:rtl w:val="0"/>
        </w:rPr>
        <w:t xml:space="preserve">The security-deposit exception — HB1336 (2026).</w:t>
      </w:r>
      <w:r>
        <w:rPr>
          <w:rFonts w:ascii="Arial" w:cs="Arial" w:eastAsia="Arial" w:hAnsi="Arial"/>
          <w:color w:val="444444"/>
          <w:sz w:val="20"/>
          <w:szCs w:val="20"/>
          <w:rtl w:val="0"/>
        </w:rPr>
        <w:t xml:space="preserve"> Loosening the deposit cap for applicants who fail standard screening, it passed the Senate 14–9 and the House concurred 180–162 — vetoed, with the override pending this fall.</w:t>
      </w:r>
    </w:p>
    <w:p>
      <w:pPr>
        <w:spacing w:before="70" w:after="30" w:line="276" w:lineRule="auto"/>
        <w:rPr/>
      </w:pPr>
      <w:r>
        <w:rPr>
          <w:rFonts w:ascii="Arial" w:cs="Arial" w:eastAsia="Arial" w:hAnsi="Arial"/>
          <w:b w:val="1"/>
          <w:bCs w:val="1"/>
          <w:color w:val="2e4a78"/>
          <w:sz w:val="24"/>
          <w:szCs w:val="24"/>
          <w:rtl w:val="0"/>
        </w:rPr>
        <w:t xml:space="preserve">Passed both chambers, then died between them</w:t>
      </w:r>
    </w:p>
    <w:p>
      <w:pPr>
        <w:spacing w:after="49" w:line="276" w:lineRule="auto"/>
        <w:rPr/>
      </w:pPr>
      <w:r>
        <w:rPr>
          <w:rFonts w:ascii="Arial" w:cs="Arial" w:eastAsia="Arial" w:hAnsi="Arial"/>
          <w:b w:val="1"/>
          <w:bCs w:val="1"/>
          <w:color w:val="1a2d4f"/>
          <w:sz w:val="20"/>
          <w:szCs w:val="20"/>
          <w:rtl w:val="0"/>
        </w:rPr>
        <w:t xml:space="preserve">The Board of Manufactured Housing fix — SB203 (2023).</w:t>
      </w:r>
      <w:r>
        <w:rPr>
          <w:rFonts w:ascii="Arial" w:cs="Arial" w:eastAsia="Arial" w:hAnsi="Arial"/>
          <w:color w:val="444444"/>
          <w:sz w:val="20"/>
          <w:szCs w:val="20"/>
          <w:rtl w:val="0"/>
        </w:rPr>
        <w:t xml:space="preserve"> Passed the Senate, passed the House 19–0 in committee and by voice vote with a new title; the Senate refused the House changes, the House refused a conference — and HB2 2023 then repealed the board outright. </w:t>
      </w:r>
      <w:r>
        <w:rPr>
          <w:rFonts w:ascii="Arial" w:cs="Arial" w:eastAsia="Arial" w:hAnsi="Arial"/>
          <w:b w:val="1"/>
          <w:bCs w:val="1"/>
          <w:color w:val="1a2d4f"/>
          <w:sz w:val="20"/>
          <w:szCs w:val="20"/>
          <w:rtl w:val="0"/>
        </w:rPr>
        <w:t xml:space="preserve">Development approvals and vesting — HB1215 (2024).</w:t>
      </w:r>
      <w:r>
        <w:rPr>
          <w:rFonts w:ascii="Arial" w:cs="Arial" w:eastAsia="Arial" w:hAnsi="Arial"/>
          <w:color w:val="444444"/>
          <w:sz w:val="20"/>
          <w:szCs w:val="20"/>
          <w:rtl w:val="0"/>
        </w:rPr>
        <w:t xml:space="preserve"> The Senate adopted the conference report; the House rejected it 102–261. </w:t>
      </w:r>
      <w:r>
        <w:rPr>
          <w:rFonts w:ascii="Arial" w:cs="Arial" w:eastAsia="Arial" w:hAnsi="Arial"/>
          <w:b w:val="1"/>
          <w:bCs w:val="1"/>
          <w:color w:val="1a2d4f"/>
          <w:sz w:val="20"/>
          <w:szCs w:val="20"/>
          <w:rtl w:val="0"/>
        </w:rPr>
        <w:t xml:space="preserve">By-right manufactured housing — HB685 (2025).</w:t>
      </w:r>
      <w:r>
        <w:rPr>
          <w:rFonts w:ascii="Arial" w:cs="Arial" w:eastAsia="Arial" w:hAnsi="Arial"/>
          <w:color w:val="444444"/>
          <w:sz w:val="20"/>
          <w:szCs w:val="20"/>
          <w:rtl w:val="0"/>
        </w:rPr>
        <w:t xml:space="preserve"> Passed both chambers in different forms; the conference committee never filed a report. </w:t>
      </w:r>
      <w:r>
        <w:rPr>
          <w:rFonts w:ascii="Arial" w:cs="Arial" w:eastAsia="Arial" w:hAnsi="Arial"/>
          <w:b w:val="1"/>
          <w:bCs w:val="1"/>
          <w:color w:val="1a2d4f"/>
          <w:sz w:val="20"/>
          <w:szCs w:val="20"/>
          <w:rtl w:val="0"/>
        </w:rPr>
        <w:t xml:space="preserve">Eviction grounds and ADU health ordinances — HB1499 and HB1540 (2026).</w:t>
      </w:r>
      <w:r>
        <w:rPr>
          <w:rFonts w:ascii="Arial" w:cs="Arial" w:eastAsia="Arial" w:hAnsi="Arial"/>
          <w:color w:val="444444"/>
          <w:sz w:val="20"/>
          <w:szCs w:val="20"/>
          <w:rtl w:val="0"/>
        </w:rPr>
        <w:t xml:space="preserve"> Both passed both chambers and died in conference; </w:t>
      </w:r>
      <w:r>
        <w:rPr>
          <w:rFonts w:ascii="Arial" w:cs="Arial" w:eastAsia="Arial" w:hAnsi="Arial"/>
          <w:b w:val="1"/>
          <w:bCs w:val="1"/>
          <w:color w:val="1a2d4f"/>
          <w:sz w:val="20"/>
          <w:szCs w:val="20"/>
          <w:rtl w:val="0"/>
        </w:rPr>
        <w:t xml:space="preserve">SB78 (2025)</w:t>
      </w:r>
      <w:r>
        <w:rPr>
          <w:rFonts w:ascii="Arial" w:cs="Arial" w:eastAsia="Arial" w:hAnsi="Arial"/>
          <w:color w:val="444444"/>
          <w:sz w:val="20"/>
          <w:szCs w:val="20"/>
          <w:rtl w:val="0"/>
        </w:rPr>
        <w:t xml:space="preserve">, the zoning-appeal window bill, died when the Senate refused to accept the House amendment.</w:t>
      </w:r>
    </w:p>
    <w:p>
      <w:pPr>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spacing w:after="36" w:line="276" w:lineRule="auto"/>
        <w:rPr/>
      </w:pPr>
      <w:r>
        <w:rPr>
          <w:rFonts w:ascii="Arial" w:cs="Arial" w:eastAsia="Arial" w:hAnsi="Arial"/>
          <w:i w:val="1"/>
          <w:iCs w:val="1"/>
          <w:color w:val="666666"/>
          <w:sz w:val="20"/>
          <w:szCs w:val="20"/>
          <w:rtl w:val="0"/>
        </w:rPr>
        <w:t xml:space="preserve">Each bill won a floor majority — several of them lopsided — before stalling.</w:t>
      </w:r>
    </w:p>
    <w:p>
      <w:pPr>
        <w:spacing w:after="49" w:line="276" w:lineRule="auto"/>
        <w:rPr/>
      </w:pPr>
      <w:r>
        <w:rPr>
          <w:rFonts w:ascii="Arial" w:cs="Arial" w:eastAsia="Arial" w:hAnsi="Arial"/>
          <w:b w:val="1"/>
          <w:bCs w:val="1"/>
          <w:color w:val="1a2d4f"/>
          <w:sz w:val="20"/>
          <w:szCs w:val="20"/>
          <w:rtl w:val="0"/>
        </w:rPr>
        <w:t xml:space="preserve">The two-ADU mandate — HB1291 (2024).</w:t>
      </w:r>
      <w:r>
        <w:rPr>
          <w:rFonts w:ascii="Arial" w:cs="Arial" w:eastAsia="Arial" w:hAnsi="Arial"/>
          <w:color w:val="444444"/>
          <w:sz w:val="20"/>
          <w:szCs w:val="20"/>
          <w:rtl w:val="0"/>
        </w:rPr>
        <w:t xml:space="preserve"> Passed the House 220–143, with 150 Democrats and 67 Republicans in favor; the Senate indefinitely postponed it by voice vote after a rescue amendment failed 8–16. The gentler version, </w:t>
      </w:r>
      <w:r>
        <w:rPr>
          <w:rFonts w:ascii="Arial" w:cs="Arial" w:eastAsia="Arial" w:hAnsi="Arial"/>
          <w:b w:val="1"/>
          <w:bCs w:val="1"/>
          <w:color w:val="1a2d4f"/>
          <w:sz w:val="20"/>
          <w:szCs w:val="20"/>
          <w:rtl w:val="0"/>
        </w:rPr>
        <w:t xml:space="preserve">HB1399 (2024)</w:t>
      </w:r>
      <w:r>
        <w:rPr>
          <w:rFonts w:ascii="Arial" w:cs="Arial" w:eastAsia="Arial" w:hAnsi="Arial"/>
          <w:color w:val="444444"/>
          <w:sz w:val="20"/>
          <w:szCs w:val="20"/>
          <w:rtl w:val="0"/>
        </w:rPr>
        <w:t xml:space="preserve"> — merely letting towns permit second units — passed the House 220–140 and sits in Senate interim study.</w:t>
      </w:r>
    </w:p>
    <w:p>
      <w:pPr>
        <w:spacing w:after="49" w:line="276" w:lineRule="auto"/>
        <w:rPr/>
      </w:pPr>
      <w:r>
        <w:rPr>
          <w:rFonts w:ascii="Arial" w:cs="Arial" w:eastAsia="Arial" w:hAnsi="Arial"/>
          <w:b w:val="1"/>
          <w:bCs w:val="1"/>
          <w:color w:val="1a2d4f"/>
          <w:sz w:val="20"/>
          <w:szCs w:val="20"/>
          <w:rtl w:val="0"/>
        </w:rPr>
        <w:t xml:space="preserve">Zoning-procedure reform — SB538 (2024) and SB84 (2025).</w:t>
      </w:r>
      <w:r>
        <w:rPr>
          <w:rFonts w:ascii="Arial" w:cs="Arial" w:eastAsia="Arial" w:hAnsi="Arial"/>
          <w:color w:val="444444"/>
          <w:sz w:val="20"/>
          <w:szCs w:val="20"/>
          <w:rtl w:val="0"/>
        </w:rPr>
        <w:t xml:space="preserve"> SB538 passed the Senate and was killed on the House floor 188–173; SB84 passed the Senate 13–10, was carried across the biennium, and ended in interim study.</w:t>
      </w:r>
    </w:p>
    <w:p>
      <w:pPr>
        <w:spacing w:after="49" w:line="276" w:lineRule="auto"/>
        <w:rPr/>
      </w:pPr>
      <w:r>
        <w:rPr>
          <w:rFonts w:ascii="Arial" w:cs="Arial" w:eastAsia="Arial" w:hAnsi="Arial"/>
          <w:b w:val="1"/>
          <w:bCs w:val="1"/>
          <w:color w:val="1a2d4f"/>
          <w:sz w:val="20"/>
          <w:szCs w:val="20"/>
          <w:rtl w:val="0"/>
        </w:rPr>
        <w:t xml:space="preserve">Affordable Housing Fund money — SB152 (2021) and SB454 (2024).</w:t>
      </w:r>
      <w:r>
        <w:rPr>
          <w:rFonts w:ascii="Arial" w:cs="Arial" w:eastAsia="Arial" w:hAnsi="Arial"/>
          <w:color w:val="444444"/>
          <w:sz w:val="20"/>
          <w:szCs w:val="20"/>
          <w:rtl w:val="0"/>
        </w:rPr>
        <w:t xml:space="preserve"> SB152 passed the Senate 24–0 and the House killed it; SB454, doubling the fund's transfer-tax stream, passed the Senate unanimously and was tabled by the House 180–176 on a division vote. The money arrived through the budget trailer instead. </w:t>
      </w:r>
      <w:r>
        <w:rPr>
          <w:rFonts w:ascii="Arial" w:cs="Arial" w:eastAsia="Arial" w:hAnsi="Arial"/>
          <w:b w:val="1"/>
          <w:bCs w:val="1"/>
          <w:color w:val="1a2d4f"/>
          <w:sz w:val="20"/>
          <w:szCs w:val="20"/>
          <w:rtl w:val="0"/>
        </w:rPr>
        <w:t xml:space="preserve">Shelter funding — SB113 (2025)</w:t>
      </w:r>
      <w:r>
        <w:rPr>
          <w:rFonts w:ascii="Arial" w:cs="Arial" w:eastAsia="Arial" w:hAnsi="Arial"/>
          <w:color w:val="444444"/>
          <w:sz w:val="20"/>
          <w:szCs w:val="20"/>
          <w:rtl w:val="0"/>
        </w:rPr>
        <w:t xml:space="preserve"> passed the Senate 23–0 and died at the Senate's own end-of-year deadline.</w:t>
      </w:r>
    </w:p>
    <w:p>
      <w:pPr>
        <w:spacing w:after="49" w:line="276" w:lineRule="auto"/>
        <w:rPr/>
      </w:pPr>
      <w:r>
        <w:rPr>
          <w:rFonts w:ascii="Arial" w:cs="Arial" w:eastAsia="Arial" w:hAnsi="Arial"/>
          <w:b w:val="1"/>
          <w:bCs w:val="1"/>
          <w:color w:val="1a2d4f"/>
          <w:sz w:val="20"/>
          <w:szCs w:val="20"/>
          <w:rtl w:val="0"/>
        </w:rPr>
        <w:t xml:space="preserve">Land-board training — HB1629 (2020).</w:t>
      </w:r>
      <w:r>
        <w:rPr>
          <w:rFonts w:ascii="Arial" w:cs="Arial" w:eastAsia="Arial" w:hAnsi="Arial"/>
          <w:color w:val="444444"/>
          <w:sz w:val="20"/>
          <w:szCs w:val="20"/>
          <w:rtl w:val="0"/>
        </w:rPr>
        <w:t xml:space="preserve"> Passed the House 276–60 and died on the Senate's pandemic table; training bills have since failed in 2021, 2022, 2023, and 2026.</w:t>
      </w:r>
    </w:p>
    <w:p>
      <w:pPr>
        <w:spacing w:after="49" w:line="276" w:lineRule="auto"/>
        <w:rPr/>
      </w:pPr>
      <w:r>
        <w:rPr>
          <w:rFonts w:ascii="Arial" w:cs="Arial" w:eastAsia="Arial" w:hAnsi="Arial"/>
          <w:b w:val="1"/>
          <w:bCs w:val="1"/>
          <w:color w:val="1a2d4f"/>
          <w:sz w:val="20"/>
          <w:szCs w:val="20"/>
          <w:rtl w:val="0"/>
        </w:rPr>
        <w:t xml:space="preserve">A repeal, stopped — HB1196 (2026).</w:t>
      </w:r>
      <w:r>
        <w:rPr>
          <w:rFonts w:ascii="Arial" w:cs="Arial" w:eastAsia="Arial" w:hAnsi="Arial"/>
          <w:color w:val="444444"/>
          <w:sz w:val="20"/>
          <w:szCs w:val="20"/>
          <w:rtl w:val="0"/>
        </w:rPr>
        <w:t xml:space="preserve"> Repealing the Housing Champion program passed the House 185–166 with Republicans in favor and every voting Democrat opposed; the Senate killed it, and the program survived.</w:t>
      </w:r>
    </w:p>
    <w:p>
      <w:pPr>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spacing w:after="36" w:line="276" w:lineRule="auto"/>
        <w:rPr/>
      </w:pPr>
      <w:r>
        <w:rPr>
          <w:rFonts w:ascii="Arial" w:cs="Arial" w:eastAsia="Arial" w:hAnsi="Arial"/>
          <w:i w:val="1"/>
          <w:iCs w:val="1"/>
          <w:color w:val="666666"/>
          <w:sz w:val="20"/>
          <w:szCs w:val="20"/>
          <w:rtl w:val="0"/>
        </w:rPr>
        <w:t xml:space="preserve">New law settles some ground — and shows where the Legislature keeps building.</w:t>
      </w:r>
    </w:p>
    <w:p>
      <w:pPr>
        <w:spacing w:before="70" w:after="30" w:line="276" w:lineRule="auto"/>
        <w:rPr/>
      </w:pPr>
      <w:r>
        <w:rPr>
          <w:rFonts w:ascii="Arial" w:cs="Arial" w:eastAsia="Arial" w:hAnsi="Arial"/>
          <w:b w:val="1"/>
          <w:bCs w:val="1"/>
          <w:color w:val="2e4a78"/>
          <w:sz w:val="24"/>
          <w:szCs w:val="24"/>
          <w:rtl w:val="0"/>
        </w:rPr>
        <w:t xml:space="preserve">New laws from the 2025–2026 biennium</w:t>
      </w:r>
    </w:p>
    <w:p>
      <w:pPr>
        <w:spacing w:after="49" w:line="276" w:lineRule="auto"/>
        <w:rPr/>
      </w:pPr>
      <w:r>
        <w:rPr>
          <w:rFonts w:ascii="Arial" w:cs="Arial" w:eastAsia="Arial" w:hAnsi="Arial"/>
          <w:color w:val="444444"/>
          <w:sz w:val="20"/>
          <w:szCs w:val="20"/>
          <w:rtl w:val="0"/>
        </w:rPr>
        <w:t xml:space="preserve">Twenty-two housing laws in two years. HB631, HB1010, and HB1588 opened commercial land to homes; HB577 and HB1079 widened ADU rights; HB457 limited local dwelling-unit restrictions; HB1681 legalized tiny houses. HB1598 updated eviction procedure; SB166 protected manufactured-home residents at sale; HB92 added recusal rules for land-board members. HB1042 raised New Hampshire Housing's bonding cap; SB490 put vacant Great Bay Community College property to work for housing. The budget trailer carried the rest — Partners in Housing, Housing Champion extensions, opioid-fund shelter dollars, Medicaid supportive housing, and the Housing Appeals Board restructure.</w:t>
      </w:r>
    </w:p>
    <w:p>
      <w:pPr>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spacing w:after="49" w:line="276" w:lineRule="auto"/>
        <w:rPr/>
      </w:pPr>
      <w:r>
        <w:rPr>
          <w:rFonts w:ascii="Arial" w:cs="Arial" w:eastAsia="Arial" w:hAnsi="Arial"/>
          <w:color w:val="444444"/>
          <w:sz w:val="20"/>
          <w:szCs w:val="20"/>
          <w:rtl w:val="0"/>
        </w:rPr>
        <w:t xml:space="preserve">HB1400 (2024) is the pattern to watch: parking caps had died as HB1098 (2022) and homes-in-commercial-zones as HB1053 (2024) before both passed inside the 2024 omnibus — the Legislature returned to failed ideas until they worked, then extended them in 2025 and 2026. The same ladder shows elsewhere: tiny-house codes failed three times (SB482 2020, HB588 2021, HB1068 2022) before HB1681 passed 242–102; the land-use court docket failed as HB1389 (2022) and HB347 (2023) before HB2 2023 enacted it; renter-side disclosure finally passed as HB283 (2024), requiring application fees to be disclosed and the excess refunded, after the fee-refund bill died in 2022. Manufactured housing is the strongest resident-protection thread: park-sale regulation (SB210, 2022), siting requirements (HB1361, 2024), rulemaking authority (SB306, 2024), and sale notice in resident-owned communities (SB166, 2025) all became law. And HB261 (2024) — lease termination in domestic violence situations — is the record's one substantive tenant protection to pass.</w:t>
      </w:r>
    </w:p>
    <w:p>
      <w:pPr>
        <w:spacing w:before="84" w:after="36" w:line="276" w:lineRule="auto"/>
        <w:rPr/>
      </w:pPr>
      <w:r>
        <w:rPr>
          <w:rFonts w:ascii="Arial" w:cs="Arial" w:eastAsia="Arial" w:hAnsi="Arial"/>
          <w:b w:val="1"/>
          <w:bCs w:val="1"/>
          <w:color w:val="c0392b"/>
          <w:sz w:val="25"/>
          <w:szCs w:val="25"/>
          <w:rtl w:val="0"/>
        </w:rPr>
        <w:t xml:space="preserve">LITTLE TRACTION YET: NEVER FILED OR STOPPED EARLY</w:t>
      </w:r>
    </w:p>
    <w:p>
      <w:pPr>
        <w:spacing w:after="36" w:line="276" w:lineRule="auto"/>
        <w:rPr/>
      </w:pPr>
      <w:r>
        <w:rPr>
          <w:rFonts w:ascii="Arial" w:cs="Arial" w:eastAsia="Arial" w:hAnsi="Arial"/>
          <w:i w:val="1"/>
          <w:iCs w:val="1"/>
          <w:color w:val="666666"/>
          <w:sz w:val="20"/>
          <w:szCs w:val="20"/>
          <w:rtl w:val="0"/>
        </w:rPr>
        <w:t xml:space="preserve">Three of the five citizen proposals have never been filed; the rest of the untraveled ground stops early, almost always in the House.</w:t>
      </w:r>
    </w:p>
    <w:p>
      <w:pPr>
        <w:spacing w:after="49" w:line="276" w:lineRule="auto"/>
        <w:rPr/>
      </w:pPr>
      <w:r>
        <w:rPr>
          <w:rFonts w:ascii="Arial" w:cs="Arial" w:eastAsia="Arial" w:hAnsi="Arial"/>
          <w:b w:val="1"/>
          <w:bCs w:val="1"/>
          <w:color w:val="1a2d4f"/>
          <w:sz w:val="20"/>
          <w:szCs w:val="20"/>
          <w:rtl w:val="0"/>
        </w:rPr>
        <w:t xml:space="preserve">Corporate and private-equity limits. Never filed.</w:t>
      </w:r>
      <w:r>
        <w:rPr>
          <w:rFonts w:ascii="Arial" w:cs="Arial" w:eastAsia="Arial" w:hAnsi="Arial"/>
          <w:color w:val="444444"/>
          <w:sz w:val="20"/>
          <w:szCs w:val="20"/>
          <w:rtl w:val="0"/>
        </w:rPr>
        <w:t xml:space="preserve"> No bill proposes capping corporate home purchases, registering investor owners, or taxing corporate-owned housing at a higher rate. The nearest relatives died: the luxury second-home assessment (HB1786, 2026) was tabled 189–158 and stayed there 100–235; the vacancy tax (HB1707, 2026), the rent registry with an algorithmic-pricing ban (HB558, 2025; HB1612, 2026), and the corporate-rent-increase eviction shield (HB1368, 2024) all died.</w:t>
      </w:r>
    </w:p>
    <w:p>
      <w:pPr>
        <w:spacing w:after="49" w:line="276" w:lineRule="auto"/>
        <w:rPr/>
      </w:pPr>
      <w:r>
        <w:rPr>
          <w:rFonts w:ascii="Arial" w:cs="Arial" w:eastAsia="Arial" w:hAnsi="Arial"/>
          <w:b w:val="1"/>
          <w:bCs w:val="1"/>
          <w:color w:val="1a2d4f"/>
          <w:sz w:val="20"/>
          <w:szCs w:val="20"/>
          <w:rtl w:val="0"/>
        </w:rPr>
        <w:t xml:space="preserve">Starter-home incentives. Never filed.</w:t>
      </w:r>
      <w:r>
        <w:rPr>
          <w:rFonts w:ascii="Arial" w:cs="Arial" w:eastAsia="Arial" w:hAnsi="Arial"/>
          <w:color w:val="444444"/>
          <w:sz w:val="20"/>
          <w:szCs w:val="20"/>
          <w:rtl w:val="0"/>
        </w:rPr>
        <w:t xml:space="preserve"> Nothing regulates or incentivizes the affordable-to-luxury mix of new construction. The funding designs that came closest kept dying in the House: workforce-housing targets with a revolving fund (HB1764, 2026), the community heroes homebuyer expansion (HB1661, 2026, 179–166), the homebuyer-loan study (HB1101, 2024), and the homeownership innovations fund (SB202, 2023).</w:t>
      </w:r>
    </w:p>
    <w:p>
      <w:pPr>
        <w:spacing w:after="49" w:line="276" w:lineRule="auto"/>
        <w:rPr/>
      </w:pPr>
      <w:r>
        <w:rPr>
          <w:rFonts w:ascii="Arial" w:cs="Arial" w:eastAsia="Arial" w:hAnsi="Arial"/>
          <w:b w:val="1"/>
          <w:bCs w:val="1"/>
          <w:color w:val="1a2d4f"/>
          <w:sz w:val="20"/>
          <w:szCs w:val="20"/>
          <w:rtl w:val="0"/>
        </w:rPr>
        <w:t xml:space="preserve">Downsizing-sized homes. Never filed directly.</w:t>
      </w:r>
      <w:r>
        <w:rPr>
          <w:rFonts w:ascii="Arial" w:cs="Arial" w:eastAsia="Arial" w:hAnsi="Arial"/>
          <w:color w:val="444444"/>
          <w:sz w:val="20"/>
          <w:szCs w:val="20"/>
          <w:rtl w:val="0"/>
        </w:rPr>
        <w:t xml:space="preserve"> No bill targets smaller homes for older owners as such; the enacted smaller-units laws — detached ADUs, tiny houses, commercial conversions — are the adjacent ground, and congregate-housing money for older adults has moved only inside HB2.</w:t>
      </w:r>
    </w:p>
    <w:p>
      <w:pPr>
        <w:spacing w:after="49" w:line="276" w:lineRule="auto"/>
        <w:rPr/>
      </w:pPr>
      <w:r>
        <w:rPr>
          <w:rFonts w:ascii="Arial" w:cs="Arial" w:eastAsia="Arial" w:hAnsi="Arial"/>
          <w:b w:val="1"/>
          <w:bCs w:val="1"/>
          <w:color w:val="1a2d4f"/>
          <w:sz w:val="20"/>
          <w:szCs w:val="20"/>
          <w:rtl w:val="0"/>
        </w:rPr>
        <w:t xml:space="preserve">Rent costs and fees.</w:t>
      </w:r>
      <w:r>
        <w:rPr>
          <w:rFonts w:ascii="Arial" w:cs="Arial" w:eastAsia="Arial" w:hAnsi="Arial"/>
          <w:color w:val="444444"/>
          <w:sz w:val="20"/>
          <w:szCs w:val="20"/>
          <w:rtl w:val="0"/>
        </w:rPr>
        <w:t xml:space="preserve"> Rent-increase notice died three times (HB160 2021, HB1200 2022, HB567 2023); the rent registry twice (HB422 2023, HB558 2025); application-fee caps repeatedly (HB1408 2022; HB1371 and HB1375, 2026); rent-stabilization enabling once (HB1362, 2024); and municipal rental regulation 301–63 (HB95, 2023). </w:t>
      </w:r>
      <w:r>
        <w:rPr>
          <w:rFonts w:ascii="Arial" w:cs="Arial" w:eastAsia="Arial" w:hAnsi="Arial"/>
          <w:b w:val="1"/>
          <w:bCs w:val="1"/>
          <w:color w:val="1a2d4f"/>
          <w:sz w:val="20"/>
          <w:szCs w:val="20"/>
          <w:rtl w:val="0"/>
        </w:rPr>
        <w:t xml:space="preserve">Voucher protections</w:t>
      </w:r>
      <w:r>
        <w:rPr>
          <w:rFonts w:ascii="Arial" w:cs="Arial" w:eastAsia="Arial" w:hAnsi="Arial"/>
          <w:color w:val="444444"/>
          <w:sz w:val="20"/>
          <w:szCs w:val="20"/>
          <w:rtl w:val="0"/>
        </w:rPr>
        <w:t xml:space="preserve"> died in the House three times (HB1291 2022, tabled 179–148; HB469 2023; HB628 2025); the landlord-incentive version (SB518, 2024) went to interim study.</w:t>
      </w:r>
    </w:p>
    <w:p>
      <w:pPr>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supply-side zoning (a new law or several every session since 2024, each building on a failed predecessor); manufactured and tiny homes (five laws); the HB2 money pattern (Affordable Housing Fund, InvestNH, Housing Champion, shelter funding — enacted every budget cycle even as the standalone bills die); and renter disclosure rules (HB283, HB309, HB1598).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rent and fee limits (dead in every session, under both parties' House majorities); corporate-ownership limits and starter-home incentives (never filed); the Housing Appeals Board's opponents (repeal bills died in 2020, 2021, 2022, and 2024 — then HB2 2025 restructured the board anyway).</w:t>
      </w:r>
    </w:p>
    <w:p>
      <w:pPr>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House floor's Inexpedient to Legislate motion is the single largest killer in the set — 51 housing bills died there in 2026 alone — and the Senate's Rule 3-23 deadline quietly killed five 2025 housing bills, several after unanimous votes. Some decisive outcomes left no roll call at all: SB454's tabling was a division vote, HB1291's 2024 Senate death a voice vote. Housing-supply coalitions are cross-party and shift bill by bill: SB86 (2021) passed the House 208–167 with 196 Republicans in favor and 164 Democrats opposed; three years later the ADU mandate passed on the reverse coalition. Frequent carriers where party records exist: Reps. Joe Alexander (R) and Ellen Read (D) and Sen. Keith Murphy (R), on seven, six, and five bills.</w:t>
      </w:r>
    </w:p>
    <w:p>
      <w:pPr>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spacing w:after="49" w:line="276" w:lineRule="auto"/>
        <w:rPr/>
      </w:pPr>
      <w:r>
        <w:rPr>
          <w:rFonts w:ascii="Arial" w:cs="Arial" w:eastAsia="Arial" w:hAnsi="Arial"/>
          <w:color w:val="444444"/>
          <w:sz w:val="20"/>
          <w:szCs w:val="20"/>
          <w:rtl w:val="0"/>
        </w:rPr>
        <w:t xml:space="preserve">No federal law caps rents, limits corporate home purchases, or bars landlords from rejecting vouchers — congressional proposals on hedge-fund homeownership have been introduced, not passed — so state bills on those fronts would not duplicate federal law. Federal money already runs through the Low-Income Housing Tax Credit, HUD block grants, and Section 8 vouchers; the Affordable Housing Fund and InvestNH add state dollars alongside them rather than repeating them. FHA and VA loans lower down-payment barriers for first-time buyers, which state homebuyer programs supplement. Manufactured-home construction standards are federal (the HUD code), but where those homes may be sited is state and local law — the ground HB1361 covered. Zoning, ADUs, and land-use process have no federal statute at all: those fronts are state or local by default.</w:t>
      </w:r>
    </w:p>
    <w:p>
      <w:pPr>
        <w:spacing w:before="40" w:after="0" w:line="276" w:lineRule="auto"/>
        <w:rPr/>
      </w:pPr>
      <w:r>
        <w:rPr>
          <w:rFonts w:ascii="Arial" w:cs="Arial" w:eastAsia="Arial" w:hAnsi="Arial"/>
          <w:color w:val="666666"/>
          <w:sz w:val="20"/>
          <w:szCs w:val="20"/>
          <w:rtl w:val="0"/>
        </w:rPr>
        <w:t xml:space="preserve">Full bill-by-bill detail, votes, sponsors, HB2 sections, and sources: Appendices A–I.</w:t>
      </w:r>
    </w:p>
    <w:p>
      <w:pPr>
        <w:spacing w:after="120" w:line="276" w:lineRule="auto"/>
        <w:rPr/>
      </w:pPr>
    </w:p>
    <w:p>
      <w:pPr>
        <w:spacing w:after="120" w:line="276" w:lineRule="auto"/>
        <w:rPr/>
      </w:pPr>
    </w:p>
    <w:p>
      <w:pPr>
        <w:spacing w:after="40" w:line="252" w:lineRule="auto"/>
        <w:rPr/>
      </w:pPr>
      <w:r>
        <w:rPr>
          <w:rFonts w:ascii="Arial" w:cs="Arial" w:eastAsia="Arial" w:hAnsi="Arial"/>
          <w:b w:val="1"/>
          <w:bCs w:val="1"/>
          <w:color w:val="1a2d4f"/>
          <w:sz w:val="36"/>
          <w:szCs w:val="36"/>
          <w:rtl w:val="0"/>
        </w:rPr>
        <w:t xml:space="preserve">Policy Spotlights</w:t>
      </w:r>
    </w:p>
    <w:p>
      <w:pPr>
        <w:spacing w:after="120" w:line="254" w:lineRule="auto"/>
        <w:rPr/>
      </w:pPr>
      <w:r>
        <w:rPr>
          <w:rFonts w:ascii="Arial" w:cs="Arial" w:eastAsia="Arial" w:hAnsi="Arial"/>
          <w:color w:val="444444"/>
          <w:sz w:val="20"/>
          <w:szCs w:val="20"/>
          <w:rtl w:val="0"/>
        </w:rPr>
        <w:t xml:space="preserve">A focused, bill-by-bill look at how far each proposal from the Community Conversations has traveled. Each policy is sorted into the same viability groups the brief uses, so the brief's top section shows what is viable overall and these spotlights show how viable one policy may be.</w:t>
      </w:r>
    </w:p>
    <w:p>
      <w:pPr>
        <w:spacing w:before="84" w:after="36" w:line="254" w:lineRule="auto"/>
        <w:rPr/>
      </w:pPr>
      <w:r>
        <w:rPr>
          <w:rFonts w:ascii="Arial" w:cs="Arial" w:eastAsia="Arial" w:hAnsi="Arial"/>
          <w:b w:val="1"/>
          <w:bCs w:val="1"/>
          <w:color w:val="c0392b"/>
          <w:sz w:val="25"/>
          <w:szCs w:val="25"/>
          <w:rtl w:val="0"/>
        </w:rPr>
        <w:t xml:space="preserve">INCREASE HOUSING DENSITY AND USE ADUS / CREATIVE &amp; ALTERNATIVE HOUSING TYPES</w:t>
      </w:r>
    </w:p>
    <w:p>
      <w:pPr>
        <w:spacing w:after="60"/>
        <w:rPr/>
      </w:pPr>
      <w:r>
        <w:rPr>
          <w:rFonts w:ascii="Arial" w:cs="Arial" w:eastAsia="Arial" w:hAnsi="Arial"/>
          <w:i w:val="1"/>
          <w:iCs w:val="1"/>
          <w:color w:val="666666"/>
          <w:sz w:val="20"/>
          <w:szCs w:val="20"/>
          <w:rtl w:val="0"/>
        </w:rPr>
        <w:t xml:space="preserve">The record's busiest thread. Narrow, targeted versions now pass with cross-party votes; statewide unit mandates have failed four years running — and the enacted laws are themselves statewide rules that override local codes.</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HB577 (2025): </w:t>
      </w:r>
      <w:r>
        <w:rPr>
          <w:rFonts w:ascii="Arial" w:cs="Arial" w:eastAsia="Arial" w:hAnsi="Arial"/>
          <w:color w:val="444444"/>
          <w:sz w:val="20"/>
          <w:szCs w:val="20"/>
          <w:rtl w:val="0"/>
        </w:rPr>
        <w:t xml:space="preserve">detached ADUs allowed by right, with a larger maximum size.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HB1079 (2026): </w:t>
      </w:r>
      <w:r>
        <w:rPr>
          <w:rFonts w:ascii="Arial" w:cs="Arial" w:eastAsia="Arial" w:hAnsi="Arial"/>
          <w:color w:val="444444"/>
          <w:sz w:val="20"/>
          <w:szCs w:val="20"/>
          <w:rtl w:val="0"/>
        </w:rPr>
        <w:t xml:space="preserve">ADUs in or attached to non-conforming structures.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HB457 (2025): </w:t>
      </w:r>
      <w:r>
        <w:rPr>
          <w:rFonts w:ascii="Arial" w:cs="Arial" w:eastAsia="Arial" w:hAnsi="Arial"/>
          <w:color w:val="444444"/>
          <w:sz w:val="20"/>
          <w:szCs w:val="20"/>
          <w:rtl w:val="0"/>
        </w:rPr>
        <w:t xml:space="preserve">limits on how far local zoning can restrict dwelling units.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HB631 (2025), HB1010 and HB1588 (2026): </w:t>
      </w:r>
      <w:r>
        <w:rPr>
          <w:rFonts w:ascii="Arial" w:cs="Arial" w:eastAsia="Arial" w:hAnsi="Arial"/>
          <w:color w:val="444444"/>
          <w:sz w:val="20"/>
          <w:szCs w:val="20"/>
          <w:rtl w:val="0"/>
        </w:rPr>
        <w:t xml:space="preserve">homes and multifamily buildings on commercially zoned land, with parking-mandate limits and grant money.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HB1400 (2024): </w:t>
      </w:r>
      <w:r>
        <w:rPr>
          <w:rFonts w:ascii="Arial" w:cs="Arial" w:eastAsia="Arial" w:hAnsi="Arial"/>
          <w:color w:val="444444"/>
          <w:sz w:val="20"/>
          <w:szCs w:val="20"/>
          <w:rtl w:val="0"/>
        </w:rPr>
        <w:t xml:space="preserve">office-to-housing conversion incentives, parking caps, faster local zoning amendments.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HB1361 (2024): </w:t>
      </w:r>
      <w:r>
        <w:rPr>
          <w:rFonts w:ascii="Arial" w:cs="Arial" w:eastAsia="Arial" w:hAnsi="Arial"/>
          <w:color w:val="444444"/>
          <w:sz w:val="20"/>
          <w:szCs w:val="20"/>
          <w:rtl w:val="0"/>
        </w:rPr>
        <w:t xml:space="preserve">municipalities must provide realistic opportunities for manufactured housing.</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HB1681 (2026): </w:t>
      </w:r>
      <w:r>
        <w:rPr>
          <w:rFonts w:ascii="Arial" w:cs="Arial" w:eastAsia="Arial" w:hAnsi="Arial"/>
          <w:color w:val="444444"/>
          <w:sz w:val="20"/>
          <w:szCs w:val="20"/>
          <w:rtl w:val="0"/>
        </w:rPr>
        <w:t xml:space="preserve">tiny houses and yurts legalized as innovative housing, 242–102 on concurrence.</w:t>
      </w:r>
    </w:p>
    <w:p>
      <w:pPr>
        <w:spacing w:before="70" w:after="30" w:line="250" w:lineRule="auto"/>
        <w:rPr/>
      </w:pPr>
      <w:r>
        <w:rPr>
          <w:rFonts w:ascii="Arial" w:cs="Arial" w:eastAsia="Arial" w:hAnsi="Arial"/>
          <w:b w:val="1"/>
          <w:bCs w:val="1"/>
          <w:color w:val="2e4a78"/>
          <w:sz w:val="24"/>
          <w:szCs w:val="24"/>
          <w:rtl w:val="0"/>
        </w:rPr>
        <w:t xml:space="preserve">Proven support (cleared one chamber)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HB1291 (2024): </w:t>
      </w:r>
      <w:r>
        <w:rPr>
          <w:rFonts w:ascii="Arial" w:cs="Arial" w:eastAsia="Arial" w:hAnsi="Arial"/>
          <w:color w:val="444444"/>
          <w:sz w:val="20"/>
          <w:szCs w:val="20"/>
          <w:rtl w:val="0"/>
        </w:rPr>
        <w:t xml:space="preserve">two ADUs per lot by right; passed the House 220–143 and died in the Senate on a voice vote.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HB1399 (2024): </w:t>
      </w:r>
      <w:r>
        <w:rPr>
          <w:rFonts w:ascii="Arial" w:cs="Arial" w:eastAsia="Arial" w:hAnsi="Arial"/>
          <w:color w:val="444444"/>
          <w:sz w:val="20"/>
          <w:szCs w:val="20"/>
          <w:rtl w:val="0"/>
        </w:rPr>
        <w:t xml:space="preserve">let towns permit second units in single-family zones; passed the House 220–140, now in Senate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SB84 (2025): </w:t>
      </w:r>
      <w:r>
        <w:rPr>
          <w:rFonts w:ascii="Arial" w:cs="Arial" w:eastAsia="Arial" w:hAnsi="Arial"/>
          <w:color w:val="444444"/>
          <w:sz w:val="20"/>
          <w:szCs w:val="20"/>
          <w:rtl w:val="0"/>
        </w:rPr>
        <w:t xml:space="preserve">residential zoning procedures; passed the Senate 13–10, ended in interim study.</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HB341 (2021), HB1177 (2022), HB44 (2023): </w:t>
      </w:r>
      <w:r>
        <w:rPr>
          <w:rFonts w:ascii="Arial" w:cs="Arial" w:eastAsia="Arial" w:hAnsi="Arial"/>
          <w:color w:val="444444"/>
          <w:sz w:val="20"/>
          <w:szCs w:val="20"/>
          <w:rtl w:val="0"/>
        </w:rPr>
        <w:t xml:space="preserve">the unit mandates, in escalating losses — the last crushed 117–232.</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HB604 and HB1662 (2026): </w:t>
      </w:r>
      <w:r>
        <w:rPr>
          <w:rFonts w:ascii="Arial" w:cs="Arial" w:eastAsia="Arial" w:hAnsi="Arial"/>
          <w:color w:val="444444"/>
          <w:sz w:val="20"/>
          <w:szCs w:val="20"/>
          <w:rtl w:val="0"/>
        </w:rPr>
        <w:t xml:space="preserve">ADU loan forgiveness (interim study) and loan guarantees (died).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SB90 and HB1065 (2026): </w:t>
      </w:r>
      <w:r>
        <w:rPr>
          <w:rFonts w:ascii="Arial" w:cs="Arial" w:eastAsia="Arial" w:hAnsi="Arial"/>
          <w:color w:val="444444"/>
          <w:sz w:val="20"/>
          <w:szCs w:val="20"/>
          <w:rtl w:val="0"/>
        </w:rPr>
        <w:t xml:space="preserve">high-density residential on commercial land; both died.</w:t>
      </w:r>
    </w:p>
    <w:p>
      <w:pPr>
        <w:spacing w:before="84" w:after="36" w:line="254" w:lineRule="auto"/>
        <w:rPr/>
      </w:pPr>
      <w:r>
        <w:rPr>
          <w:rFonts w:ascii="Arial" w:cs="Arial" w:eastAsia="Arial" w:hAnsi="Arial"/>
          <w:b w:val="1"/>
          <w:bCs w:val="1"/>
          <w:color w:val="c0392b"/>
          <w:sz w:val="25"/>
          <w:szCs w:val="25"/>
          <w:rtl w:val="0"/>
        </w:rPr>
        <w:t xml:space="preserve">INCREASING THE SUPPLY OF SMALLER, DOWNSIZING-APPROPRIATE HOMES</w:t>
      </w:r>
    </w:p>
    <w:p>
      <w:pPr>
        <w:spacing w:after="60"/>
        <w:rPr/>
      </w:pPr>
      <w:r>
        <w:rPr>
          <w:rFonts w:ascii="Arial" w:cs="Arial" w:eastAsia="Arial" w:hAnsi="Arial"/>
          <w:i w:val="1"/>
          <w:iCs w:val="1"/>
          <w:color w:val="666666"/>
          <w:sz w:val="20"/>
          <w:szCs w:val="20"/>
          <w:rtl w:val="0"/>
        </w:rPr>
        <w:t xml:space="preserve">Never filed as a downsizing measure: no bill targets smaller homes for older owners as such. The smaller-units laws that did pass are the adjacent ground, and the seniors-focused housing money has moved only inside the budget trailer.</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HB577 (2025): </w:t>
      </w:r>
      <w:r>
        <w:rPr>
          <w:rFonts w:ascii="Arial" w:cs="Arial" w:eastAsia="Arial" w:hAnsi="Arial"/>
          <w:color w:val="444444"/>
          <w:sz w:val="20"/>
          <w:szCs w:val="20"/>
          <w:rtl w:val="0"/>
        </w:rPr>
        <w:t xml:space="preserve">detached ADUs — the in-law-apartment design participants described — allowed by right.</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HB1681 (2026): </w:t>
      </w:r>
      <w:r>
        <w:rPr>
          <w:rFonts w:ascii="Arial" w:cs="Arial" w:eastAsia="Arial" w:hAnsi="Arial"/>
          <w:color w:val="444444"/>
          <w:sz w:val="20"/>
          <w:szCs w:val="20"/>
          <w:rtl w:val="0"/>
        </w:rPr>
        <w:t xml:space="preserve">tiny houses and yurts as permitted dwellings.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HB1400 (2024) and HB631 (2025): </w:t>
      </w:r>
      <w:r>
        <w:rPr>
          <w:rFonts w:ascii="Arial" w:cs="Arial" w:eastAsia="Arial" w:hAnsi="Arial"/>
          <w:color w:val="444444"/>
          <w:sz w:val="20"/>
          <w:szCs w:val="20"/>
          <w:rtl w:val="0"/>
        </w:rPr>
        <w:t xml:space="preserve">office and commercial conversions, the record's smallest new units.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and 2025 (79:196; 141:56): </w:t>
      </w:r>
      <w:r>
        <w:rPr>
          <w:rFonts w:ascii="Arial" w:cs="Arial" w:eastAsia="Arial" w:hAnsi="Arial"/>
          <w:color w:val="444444"/>
          <w:sz w:val="20"/>
          <w:szCs w:val="20"/>
          <w:rtl w:val="0"/>
        </w:rPr>
        <w:t xml:space="preserve">congregate-housing money for older adults — $1.5 million restored in 2023, $350,000 a year in 2025 — after the 2021 trailer had suspended the program.</w:t>
      </w:r>
    </w:p>
    <w:p>
      <w:pPr>
        <w:spacing w:before="70" w:after="30" w:line="250" w:lineRule="auto"/>
        <w:rPr/>
      </w:pPr>
      <w:r>
        <w:rPr>
          <w:rFonts w:ascii="Arial" w:cs="Arial" w:eastAsia="Arial" w:hAnsi="Arial"/>
          <w:b w:val="1"/>
          <w:bCs w:val="1"/>
          <w:color w:val="2e4a78"/>
          <w:sz w:val="24"/>
          <w:szCs w:val="24"/>
          <w:rtl w:val="0"/>
        </w:rPr>
        <w:t xml:space="preserve">Proven support (cleared one chamber)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HB1399 (2024): </w:t>
      </w:r>
      <w:r>
        <w:rPr>
          <w:rFonts w:ascii="Arial" w:cs="Arial" w:eastAsia="Arial" w:hAnsi="Arial"/>
          <w:color w:val="444444"/>
          <w:sz w:val="20"/>
          <w:szCs w:val="20"/>
          <w:rtl w:val="0"/>
        </w:rPr>
        <w:t xml:space="preserve">second units in single-family zones — the closest enabling design; passed the House 220–140, in Senate interim study.</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 bill aimed at downsizing supply — smaller single-family homes, senior-oriented cottage or cluster housing, or incentives to free up larger homes.</w:t>
      </w:r>
    </w:p>
    <w:p>
      <w:pPr>
        <w:spacing w:before="84" w:after="36" w:line="254" w:lineRule="auto"/>
        <w:rPr/>
      </w:pPr>
      <w:r>
        <w:rPr>
          <w:rFonts w:ascii="Arial" w:cs="Arial" w:eastAsia="Arial" w:hAnsi="Arial"/>
          <w:b w:val="1"/>
          <w:bCs w:val="1"/>
          <w:color w:val="c0392b"/>
          <w:sz w:val="25"/>
          <w:szCs w:val="25"/>
          <w:rtl w:val="0"/>
        </w:rPr>
        <w:t xml:space="preserve">FUND THE HOUSING CHAMPIONS PROGRAM AND REVIEW ELIGIBILITY CRITERIA</w:t>
      </w:r>
    </w:p>
    <w:p>
      <w:pPr>
        <w:spacing w:after="60"/>
        <w:rPr/>
      </w:pPr>
      <w:r>
        <w:rPr>
          <w:rFonts w:ascii="Arial" w:cs="Arial" w:eastAsia="Arial" w:hAnsi="Arial"/>
          <w:i w:val="1"/>
          <w:iCs w:val="1"/>
          <w:color w:val="666666"/>
          <w:sz w:val="20"/>
          <w:szCs w:val="20"/>
          <w:rtl w:val="0"/>
        </w:rPr>
        <w:t xml:space="preserve">The program exists, is funded through mid-2026, and survived a repeal vote — the open questions are renewal money and the designation criteria.</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(79:462–466): </w:t>
      </w:r>
      <w:r>
        <w:rPr>
          <w:rFonts w:ascii="Arial" w:cs="Arial" w:eastAsia="Arial" w:hAnsi="Arial"/>
          <w:color w:val="444444"/>
          <w:sz w:val="20"/>
          <w:szCs w:val="20"/>
          <w:rtl w:val="0"/>
        </w:rPr>
        <w:t xml:space="preserve">created the voluntary designation and its grant programs, with $5 million plus administration — after SB145 (2023) passed the Senate 21–3.</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(141:355, 141:214): </w:t>
      </w:r>
      <w:r>
        <w:rPr>
          <w:rFonts w:ascii="Arial" w:cs="Arial" w:eastAsia="Arial" w:hAnsi="Arial"/>
          <w:color w:val="444444"/>
          <w:sz w:val="20"/>
          <w:szCs w:val="20"/>
          <w:rtl w:val="0"/>
        </w:rPr>
        <w:t xml:space="preserve">extended the money to mid-2026 and widened the fund to compile public land suitable for housing.</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HB1588 (2026): </w:t>
      </w:r>
      <w:r>
        <w:rPr>
          <w:rFonts w:ascii="Arial" w:cs="Arial" w:eastAsia="Arial" w:hAnsi="Arial"/>
          <w:color w:val="444444"/>
          <w:sz w:val="20"/>
          <w:szCs w:val="20"/>
          <w:rtl w:val="0"/>
        </w:rPr>
        <w:t xml:space="preserve">expanded the housing infrastructure municipal grant program with new money.</w:t>
      </w:r>
    </w:p>
    <w:p>
      <w:pPr>
        <w:spacing w:before="70" w:after="30" w:line="250" w:lineRule="auto"/>
        <w:rPr/>
      </w:pPr>
      <w:r>
        <w:rPr>
          <w:rFonts w:ascii="Arial" w:cs="Arial" w:eastAsia="Arial" w:hAnsi="Arial"/>
          <w:b w:val="1"/>
          <w:bCs w:val="1"/>
          <w:color w:val="2e4a78"/>
          <w:sz w:val="24"/>
          <w:szCs w:val="24"/>
          <w:rtl w:val="0"/>
        </w:rPr>
        <w:t xml:space="preserve">Survived a repeal</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HB1196 (2026): </w:t>
      </w:r>
      <w:r>
        <w:rPr>
          <w:rFonts w:ascii="Arial" w:cs="Arial" w:eastAsia="Arial" w:hAnsi="Arial"/>
          <w:color w:val="444444"/>
          <w:sz w:val="20"/>
          <w:szCs w:val="20"/>
          <w:rtl w:val="0"/>
        </w:rPr>
        <w:t xml:space="preserve">passed the House 185–166 on near-party lines; the Senate killed it, and the program stands.</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SB279 (2025): </w:t>
      </w:r>
      <w:r>
        <w:rPr>
          <w:rFonts w:ascii="Arial" w:cs="Arial" w:eastAsia="Arial" w:hAnsi="Arial"/>
          <w:color w:val="444444"/>
          <w:sz w:val="20"/>
          <w:szCs w:val="20"/>
          <w:rtl w:val="0"/>
        </w:rPr>
        <w:t xml:space="preserve">a Housing Champion business loan program; died at the Senate's end-of-year deadline.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SB419 (2026): </w:t>
      </w:r>
      <w:r>
        <w:rPr>
          <w:rFonts w:ascii="Arial" w:cs="Arial" w:eastAsia="Arial" w:hAnsi="Arial"/>
          <w:color w:val="444444"/>
          <w:sz w:val="20"/>
          <w:szCs w:val="20"/>
          <w:rtl w:val="0"/>
        </w:rPr>
        <w:t xml:space="preserve">program changes plus Affordable Housing Fund appropriations; interim study, 16–8.</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HB572 (2026): </w:t>
      </w:r>
      <w:r>
        <w:rPr>
          <w:rFonts w:ascii="Arial" w:cs="Arial" w:eastAsia="Arial" w:hAnsi="Arial"/>
          <w:color w:val="444444"/>
          <w:sz w:val="20"/>
          <w:szCs w:val="20"/>
          <w:rtl w:val="0"/>
        </w:rPr>
        <w:t xml:space="preserve">the standalone Partners in Housing bill; killed 191–156 after HB2 2025 had already enacted the program.</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Any bill adjusting how applicants are ranked — the criteria live in RSA 12-O:71–76, and every change so far has moved through the budget trailer.</w:t>
      </w:r>
    </w:p>
    <w:p>
      <w:pPr>
        <w:spacing w:before="84" w:after="36" w:line="254" w:lineRule="auto"/>
        <w:rPr/>
      </w:pPr>
      <w:r>
        <w:rPr>
          <w:rFonts w:ascii="Arial" w:cs="Arial" w:eastAsia="Arial" w:hAnsi="Arial"/>
          <w:b w:val="1"/>
          <w:bCs w:val="1"/>
          <w:color w:val="c0392b"/>
          <w:sz w:val="25"/>
          <w:szCs w:val="25"/>
          <w:rtl w:val="0"/>
        </w:rPr>
        <w:t xml:space="preserve">REGULATE CORPORATIONS / PRIVATE EQUITY BUYING UP HOUSING; REQUIRE THEM TO PAY MORE IN TAXES</w:t>
      </w:r>
    </w:p>
    <w:p>
      <w:pPr>
        <w:spacing w:after="60"/>
        <w:rPr/>
      </w:pPr>
      <w:r>
        <w:rPr>
          <w:rFonts w:ascii="Arial" w:cs="Arial" w:eastAsia="Arial" w:hAnsi="Arial"/>
          <w:i w:val="1"/>
          <w:iCs w:val="1"/>
          <w:color w:val="666666"/>
          <w:sz w:val="20"/>
          <w:szCs w:val="20"/>
          <w:rtl w:val="0"/>
        </w:rPr>
        <w:t xml:space="preserve">Never filed as an ownership limit — no bill in the certified 2020–2026 record proposes capping corporate purchases or registering investor owners. The tax side reached the House floor once and stayed on the table.</w:t>
      </w:r>
    </w:p>
    <w:p>
      <w:pPr>
        <w:spacing w:before="70" w:after="30" w:line="250" w:lineRule="auto"/>
        <w:rPr/>
      </w:pPr>
      <w:r>
        <w:rPr>
          <w:rFonts w:ascii="Arial" w:cs="Arial" w:eastAsia="Arial" w:hAnsi="Arial"/>
          <w:b w:val="1"/>
          <w:bCs w:val="1"/>
          <w:color w:val="2e4a78"/>
          <w:sz w:val="24"/>
          <w:szCs w:val="24"/>
          <w:rtl w:val="0"/>
        </w:rPr>
        <w:t xml:space="preserve">Stopped early (the tax side)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HB1786 (2026): </w:t>
      </w:r>
      <w:r>
        <w:rPr>
          <w:rFonts w:ascii="Arial" w:cs="Arial" w:eastAsia="Arial" w:hAnsi="Arial"/>
          <w:color w:val="444444"/>
          <w:sz w:val="20"/>
          <w:szCs w:val="20"/>
          <w:rtl w:val="0"/>
        </w:rPr>
        <w:t xml:space="preserve">a state assessment on luxury second homes to fund housing programs; tabled 189–158, and the motion to take it back up failed 100–235.</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HB1707 (2026): </w:t>
      </w:r>
      <w:r>
        <w:rPr>
          <w:rFonts w:ascii="Arial" w:cs="Arial" w:eastAsia="Arial" w:hAnsi="Arial"/>
          <w:color w:val="444444"/>
          <w:sz w:val="20"/>
          <w:szCs w:val="20"/>
          <w:rtl w:val="0"/>
        </w:rPr>
        <w:t xml:space="preserve">a tax on certain unoccupied properties, paired with a transfer-tax exemption for low- and moderate-income buyers; killed in the House.</w:t>
      </w:r>
    </w:p>
    <w:p>
      <w:pPr>
        <w:spacing w:before="70" w:after="30" w:line="250" w:lineRule="auto"/>
        <w:rPr/>
      </w:pPr>
      <w:r>
        <w:rPr>
          <w:rFonts w:ascii="Arial" w:cs="Arial" w:eastAsia="Arial" w:hAnsi="Arial"/>
          <w:b w:val="1"/>
          <w:bCs w:val="1"/>
          <w:color w:val="2e4a78"/>
          <w:sz w:val="24"/>
          <w:szCs w:val="24"/>
          <w:rtl w:val="0"/>
        </w:rPr>
        <w:t xml:space="preserve">Stopped early (corporate-landlord practices)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HB558 (2025): </w:t>
      </w:r>
      <w:r>
        <w:rPr>
          <w:rFonts w:ascii="Arial" w:cs="Arial" w:eastAsia="Arial" w:hAnsi="Arial"/>
          <w:color w:val="444444"/>
          <w:sz w:val="20"/>
          <w:szCs w:val="20"/>
          <w:rtl w:val="0"/>
        </w:rPr>
        <w:t xml:space="preserve">a public county rent registry plus a ban on algorithmic rent-setting; died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HB1612 (2026): </w:t>
      </w:r>
      <w:r>
        <w:rPr>
          <w:rFonts w:ascii="Arial" w:cs="Arial" w:eastAsia="Arial" w:hAnsi="Arial"/>
          <w:color w:val="444444"/>
          <w:sz w:val="20"/>
          <w:szCs w:val="20"/>
          <w:rtl w:val="0"/>
        </w:rPr>
        <w:t xml:space="preserve">the price-fixing-software ban on its own; laid on the table.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HB1368 (2024): </w:t>
      </w:r>
      <w:r>
        <w:rPr>
          <w:rFonts w:ascii="Arial" w:cs="Arial" w:eastAsia="Arial" w:hAnsi="Arial"/>
          <w:color w:val="444444"/>
          <w:sz w:val="20"/>
          <w:szCs w:val="20"/>
          <w:rtl w:val="0"/>
        </w:rPr>
        <w:t xml:space="preserve">would have barred eviction for nonpayment of corporate-raised rent; killed.</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 purchase cap, an investor registry, or a higher tax rate on corporate-owned housing. The one enacted study in the investment space points the other direction: HB633 (2025) studies housing investment trusts as a financing tool.</w:t>
      </w:r>
    </w:p>
    <w:p>
      <w:pPr>
        <w:spacing w:before="84" w:after="36" w:line="254" w:lineRule="auto"/>
        <w:rPr/>
      </w:pPr>
      <w:r>
        <w:rPr>
          <w:rFonts w:ascii="Arial" w:cs="Arial" w:eastAsia="Arial" w:hAnsi="Arial"/>
          <w:b w:val="1"/>
          <w:bCs w:val="1"/>
          <w:color w:val="c0392b"/>
          <w:sz w:val="25"/>
          <w:szCs w:val="25"/>
          <w:rtl w:val="0"/>
        </w:rPr>
        <w:t xml:space="preserve">REVERSE THE AFFORDABLE / LUXURY RATIO AND BUILD ENTRY-LEVEL "STARTER" HOMES</w:t>
      </w:r>
    </w:p>
    <w:p>
      <w:pPr>
        <w:spacing w:after="60"/>
        <w:rPr/>
      </w:pPr>
      <w:r>
        <w:rPr>
          <w:rFonts w:ascii="Arial" w:cs="Arial" w:eastAsia="Arial" w:hAnsi="Arial"/>
          <w:i w:val="1"/>
          <w:iCs w:val="1"/>
          <w:color w:val="666666"/>
          <w:sz w:val="20"/>
          <w:szCs w:val="20"/>
          <w:rtl w:val="0"/>
        </w:rPr>
        <w:t xml:space="preserve">No bill regulates the affordable-to-luxury mix of new construction, and no starter-home incentive has been filed. What exists in law attacks the supply side from other angles; the funding designs keep dying in the House.</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Partners in Housing (HB2 2025, 141:212–213): </w:t>
      </w:r>
      <w:r>
        <w:rPr>
          <w:rFonts w:ascii="Arial" w:cs="Arial" w:eastAsia="Arial" w:hAnsi="Arial"/>
          <w:color w:val="444444"/>
          <w:sz w:val="20"/>
          <w:szCs w:val="20"/>
          <w:rtl w:val="0"/>
        </w:rPr>
        <w:t xml:space="preserve">workforce housing on public land, with a required workforce-unit share and fast-track review.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HB1065 (2024): </w:t>
      </w:r>
      <w:r>
        <w:rPr>
          <w:rFonts w:ascii="Arial" w:cs="Arial" w:eastAsia="Arial" w:hAnsi="Arial"/>
          <w:color w:val="444444"/>
          <w:sz w:val="20"/>
          <w:szCs w:val="20"/>
          <w:rtl w:val="0"/>
        </w:rPr>
        <w:t xml:space="preserve">the sprinkler exemption extended to three- and four-family homes — cutting costs for exactly the buildings starter conversions produce.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HB1681 (2026) and HB1400 (2024): </w:t>
      </w:r>
      <w:r>
        <w:rPr>
          <w:rFonts w:ascii="Arial" w:cs="Arial" w:eastAsia="Arial" w:hAnsi="Arial"/>
          <w:color w:val="444444"/>
          <w:sz w:val="20"/>
          <w:szCs w:val="20"/>
          <w:rtl w:val="0"/>
        </w:rPr>
        <w:t xml:space="preserve">tiny houses and office conversions, the smallest and cheapest new units in the record.</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HB1764 (2026): </w:t>
      </w:r>
      <w:r>
        <w:rPr>
          <w:rFonts w:ascii="Arial" w:cs="Arial" w:eastAsia="Arial" w:hAnsi="Arial"/>
          <w:color w:val="444444"/>
          <w:sz w:val="20"/>
          <w:szCs w:val="20"/>
          <w:rtl w:val="0"/>
        </w:rPr>
        <w:t xml:space="preserve">community workforce housing targets, special assessments, and a revolving loan fund; killed on the House floor.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HB1661 (2026): </w:t>
      </w:r>
      <w:r>
        <w:rPr>
          <w:rFonts w:ascii="Arial" w:cs="Arial" w:eastAsia="Arial" w:hAnsi="Arial"/>
          <w:color w:val="444444"/>
          <w:sz w:val="20"/>
          <w:szCs w:val="20"/>
          <w:rtl w:val="0"/>
        </w:rPr>
        <w:t xml:space="preserve">expansion of the community heroes homebuying program; killed 179–166.</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HB1101 (2024): </w:t>
      </w:r>
      <w:r>
        <w:rPr>
          <w:rFonts w:ascii="Arial" w:cs="Arial" w:eastAsia="Arial" w:hAnsi="Arial"/>
          <w:color w:val="444444"/>
          <w:sz w:val="20"/>
          <w:szCs w:val="20"/>
          <w:rtl w:val="0"/>
        </w:rPr>
        <w:t xml:space="preserve">a study of state loans for low-to-moderate income homebuyers; killed.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SB202 (2023): </w:t>
      </w:r>
      <w:r>
        <w:rPr>
          <w:rFonts w:ascii="Arial" w:cs="Arial" w:eastAsia="Arial" w:hAnsi="Arial"/>
          <w:color w:val="444444"/>
          <w:sz w:val="20"/>
          <w:szCs w:val="20"/>
          <w:rtl w:val="0"/>
        </w:rPr>
        <w:t xml:space="preserve">a homeownership innovations fund at New Hampshire Housing; died on the Senate table.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HB1660 (2026): </w:t>
      </w:r>
      <w:r>
        <w:rPr>
          <w:rFonts w:ascii="Arial" w:cs="Arial" w:eastAsia="Arial" w:hAnsi="Arial"/>
          <w:color w:val="444444"/>
          <w:sz w:val="20"/>
          <w:szCs w:val="20"/>
          <w:rtl w:val="0"/>
        </w:rPr>
        <w:t xml:space="preserve">tax-increment financing for priority housing development; died on its committee's recommendation.</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HB1619 (2026): </w:t>
      </w:r>
      <w:r>
        <w:rPr>
          <w:rFonts w:ascii="Arial" w:cs="Arial" w:eastAsia="Arial" w:hAnsi="Arial"/>
          <w:color w:val="444444"/>
          <w:sz w:val="20"/>
          <w:szCs w:val="20"/>
          <w:rtl w:val="0"/>
        </w:rPr>
        <w:t xml:space="preserve">would have repealed the workforce housing law entirely; sent to interim study instead of passing.</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Any bill directly requiring or incentivizing a share of entry-level homes in new construction.</w:t>
      </w:r>
    </w:p>
    <w:p>
      <w:pPr>
        <w:sectPr>
          <w:footerReference r:id="rId7" w:type="default"/>
          <w:pgSz w:h="15840" w:w="12240" w:orient="portrait"/>
          <w:pgMar w:bottom="864" w:top="864" w:left="864" w:right="864" w:header="720" w:footer="144"/>
          <w:pgNumType w:start="1"/>
        </w:sectPr>
      </w:pPr>
    </w:p>
    <w:p>
      <w:pPr>
        <w:spacing w:before="84" w:after="36" w:line="254" w:lineRule="auto"/>
        <w:r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Accessory dwelling unit (ADU):</w:t>
      </w:r>
      <w:r>
        <w:rPr>
          <w:rFonts w:ascii="Arial" w:cs="Arial" w:eastAsia="Arial" w:hAnsi="Arial"/>
          <w:color w:val="444444"/>
          <w:sz w:val="20"/>
          <w:szCs w:val="20"/>
          <w:rtl w:val="0"/>
        </w:rPr>
        <w:t xml:space="preserve"> A second, smaller home on the same lot as a main house — an in-law apartment, converted garage, or backyard cottage. Since 2025, detached ADUs are allowed by right statewide.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Affordable Housing Fund:</w:t>
      </w:r>
      <w:r>
        <w:rPr>
          <w:rFonts w:ascii="Arial" w:cs="Arial" w:eastAsia="Arial" w:hAnsi="Arial"/>
          <w:color w:val="444444"/>
          <w:sz w:val="20"/>
          <w:szCs w:val="20"/>
          <w:rtl w:val="0"/>
        </w:rPr>
        <w:t xml:space="preserve"> The state fund at New Hampshire Housing that finances or matches funding for affordable housing; fed by $5 million a year of transfer-tax money plus budget appropriations ($25 million in 2021 and again in 2023).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By right:</w:t>
      </w:r>
      <w:r>
        <w:rPr>
          <w:rFonts w:ascii="Arial" w:cs="Arial" w:eastAsia="Arial" w:hAnsi="Arial"/>
          <w:color w:val="444444"/>
          <w:sz w:val="20"/>
          <w:szCs w:val="20"/>
          <w:rtl w:val="0"/>
        </w:rPr>
        <w:t xml:space="preserve"> Development a property owner may build without a special permit, variance, or discretionary board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Community heroes program:</w:t>
      </w:r>
      <w:r>
        <w:rPr>
          <w:rFonts w:ascii="Arial" w:cs="Arial" w:eastAsia="Arial" w:hAnsi="Arial"/>
          <w:color w:val="444444"/>
          <w:sz w:val="20"/>
          <w:szCs w:val="20"/>
          <w:rtl w:val="0"/>
        </w:rPr>
        <w:t xml:space="preserve"> New Hampshire Housing's homebuying help for public-service workers; the 2026 expansion bill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Congregate housing:</w:t>
      </w:r>
      <w:r>
        <w:rPr>
          <w:rFonts w:ascii="Arial" w:cs="Arial" w:eastAsia="Arial" w:hAnsi="Arial"/>
          <w:color w:val="444444"/>
          <w:sz w:val="20"/>
          <w:szCs w:val="20"/>
          <w:rtl w:val="0"/>
        </w:rPr>
        <w:t xml:space="preserve"> Housing for older adults that comes with shared services such as meals; funded through the budget trailer after a 2021 suspension.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Housing Appeals Board:</w:t>
      </w:r>
      <w:r>
        <w:rPr>
          <w:rFonts w:ascii="Arial" w:cs="Arial" w:eastAsia="Arial" w:hAnsi="Arial"/>
          <w:color w:val="444444"/>
          <w:sz w:val="20"/>
          <w:szCs w:val="20"/>
          <w:rtl w:val="0"/>
        </w:rPr>
        <w:t xml:space="preserve"> The two-member state board (three members before 2025) that hears appeals of local land-use decisions on housing, as a faster alternative to court; created in the 2019 budget, restructured by HB2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Housing Champion:</w:t>
      </w:r>
      <w:r>
        <w:rPr>
          <w:rFonts w:ascii="Arial" w:cs="Arial" w:eastAsia="Arial" w:hAnsi="Arial"/>
          <w:color w:val="444444"/>
          <w:sz w:val="20"/>
          <w:szCs w:val="20"/>
          <w:rtl w:val="0"/>
        </w:rPr>
        <w:t xml:space="preserve"> The voluntary designation for municipalities that adopt housing-friendly rules, train land boards, and invest in water and sewer capacity — unlocking state grants ($5 million, 2023).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Housing investment trust:</w:t>
      </w:r>
      <w:r>
        <w:rPr>
          <w:rFonts w:ascii="Arial" w:cs="Arial" w:eastAsia="Arial" w:hAnsi="Arial"/>
          <w:color w:val="444444"/>
          <w:sz w:val="20"/>
          <w:szCs w:val="20"/>
          <w:rtl w:val="0"/>
        </w:rPr>
        <w:t xml:space="preserve"> A pooled investment vehicle for financing housing projects; a 2025 law created a study committee on them.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Housing opportunity zone:</w:t>
      </w:r>
      <w:r>
        <w:rPr>
          <w:rFonts w:ascii="Arial" w:cs="Arial" w:eastAsia="Arial" w:hAnsi="Arial"/>
          <w:color w:val="444444"/>
          <w:sz w:val="20"/>
          <w:szCs w:val="20"/>
          <w:rtl w:val="0"/>
        </w:rPr>
        <w:t xml:space="preserve"> A district a town may create under RSA 79-E granting temporary property-tax relief for housing development or conversions.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Inclusionary zoning:</w:t>
      </w:r>
      <w:r>
        <w:rPr>
          <w:rFonts w:ascii="Arial" w:cs="Arial" w:eastAsia="Arial" w:hAnsi="Arial"/>
          <w:color w:val="444444"/>
          <w:sz w:val="20"/>
          <w:szCs w:val="20"/>
          <w:rtl w:val="0"/>
        </w:rPr>
        <w:t xml:space="preserve"> Requiring or incentivizing a share of affordable units in new developments; a 2023–2024 enabling bill ended in interim study.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InvestNH:</w:t>
      </w:r>
      <w:r>
        <w:rPr>
          <w:rFonts w:ascii="Arial" w:cs="Arial" w:eastAsia="Arial" w:hAnsi="Arial"/>
          <w:color w:val="444444"/>
          <w:sz w:val="20"/>
          <w:szCs w:val="20"/>
          <w:rtl w:val="0"/>
        </w:rPr>
        <w:t xml:space="preserve"> The state's grant fund (created 2022 with federal money, written into law by HB2 2023 with $10 million) that pays municipalities to speed housing approvals and supports construction.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Manufactured housing / resident-owned community (ROC):</w:t>
      </w:r>
      <w:r>
        <w:rPr>
          <w:rFonts w:ascii="Arial" w:cs="Arial" w:eastAsia="Arial" w:hAnsi="Arial"/>
          <w:color w:val="444444"/>
          <w:sz w:val="20"/>
          <w:szCs w:val="20"/>
          <w:rtl w:val="0"/>
        </w:rPr>
        <w:t xml:space="preserve"> Factory-built homes on rented or cooperatively owned lots; in a ROC, the residents own the park together.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New Hampshire Housing (NHHFA):</w:t>
      </w:r>
      <w:r>
        <w:rPr>
          <w:rFonts w:ascii="Arial" w:cs="Arial" w:eastAsia="Arial" w:hAnsi="Arial"/>
          <w:color w:val="444444"/>
          <w:sz w:val="20"/>
          <w:szCs w:val="20"/>
          <w:rtl w:val="0"/>
        </w:rPr>
        <w:t xml:space="preserve"> The state's housing finance authority — it runs the Affordable Housing Fund and homebuyer programs on bond authority; a 2026 law raised its bonding cap.</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Partners in Housing:</w:t>
      </w:r>
      <w:r>
        <w:rPr>
          <w:rFonts w:ascii="Arial" w:cs="Arial" w:eastAsia="Arial" w:hAnsi="Arial"/>
          <w:color w:val="444444"/>
          <w:sz w:val="20"/>
          <w:szCs w:val="20"/>
          <w:rtl w:val="0"/>
        </w:rPr>
        <w:t xml:space="preserve"> The program (HB2 2025) funding workforce housing built on municipal, county, or college land transferred to developers, with a required workforce-unit share.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Price-fixing software / algorithmic rents:</w:t>
      </w:r>
      <w:r>
        <w:rPr>
          <w:rFonts w:ascii="Arial" w:cs="Arial" w:eastAsia="Arial" w:hAnsi="Arial"/>
          <w:color w:val="444444"/>
          <w:sz w:val="20"/>
          <w:szCs w:val="20"/>
          <w:rtl w:val="0"/>
        </w:rPr>
        <w:t xml:space="preserve"> Commercial software that recommends rents by pooling landlords' data; two bills to ban its use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Rent registry:</w:t>
      </w:r>
      <w:r>
        <w:rPr>
          <w:rFonts w:ascii="Arial" w:cs="Arial" w:eastAsia="Arial" w:hAnsi="Arial"/>
          <w:color w:val="444444"/>
          <w:sz w:val="20"/>
          <w:szCs w:val="20"/>
          <w:rtl w:val="0"/>
        </w:rPr>
        <w:t xml:space="preserve"> A proposed public county-by-county list of rents charged per unit; died in 2023 and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Rent stabilization:</w:t>
      </w:r>
      <w:r>
        <w:rPr>
          <w:rFonts w:ascii="Arial" w:cs="Arial" w:eastAsia="Arial" w:hAnsi="Arial"/>
          <w:color w:val="444444"/>
          <w:sz w:val="20"/>
          <w:szCs w:val="20"/>
          <w:rtl w:val="0"/>
        </w:rPr>
        <w:t xml:space="preserve"> Limits on how fast rents may rise; the one NH bill (2024) would merely have let municipalities adopt limits, and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Starter home:</w:t>
      </w:r>
      <w:r>
        <w:rPr>
          <w:rFonts w:ascii="Arial" w:cs="Arial" w:eastAsia="Arial" w:hAnsi="Arial"/>
          <w:color w:val="444444"/>
          <w:sz w:val="20"/>
          <w:szCs w:val="20"/>
          <w:rtl w:val="0"/>
        </w:rPr>
        <w:t xml:space="preserve"> A modestly sized, entry-priced home for first-time buyers; no NH bill has defined or incentivized them.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Tiny house / yurt:</w:t>
      </w:r>
      <w:r>
        <w:rPr>
          <w:rFonts w:ascii="Arial" w:cs="Arial" w:eastAsia="Arial" w:hAnsi="Arial"/>
          <w:color w:val="444444"/>
          <w:sz w:val="20"/>
          <w:szCs w:val="20"/>
          <w:rtl w:val="0"/>
        </w:rPr>
        <w:t xml:space="preserve"> Very small dwellings legalized as "innovative housing structures" by HB1681 (2026), with inspection and local-approval rules.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Transfer tax:</w:t>
      </w:r>
      <w:r>
        <w:rPr>
          <w:rFonts w:ascii="Arial" w:cs="Arial" w:eastAsia="Arial" w:hAnsi="Arial"/>
          <w:color w:val="444444"/>
          <w:sz w:val="20"/>
          <w:szCs w:val="20"/>
          <w:rtl w:val="0"/>
        </w:rPr>
        <w:t xml:space="preserve"> New Hampshire's tax on real estate sales; $5 million a year of it feeds the Affordable Housing Fund, and bills to raise that share died in 2024, 2025, and 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Voucher (housing choice voucher / Section 8):</w:t>
      </w:r>
      <w:r>
        <w:rPr>
          <w:rFonts w:ascii="Arial" w:cs="Arial" w:eastAsia="Arial" w:hAnsi="Arial"/>
          <w:color w:val="444444"/>
          <w:sz w:val="20"/>
          <w:szCs w:val="20"/>
          <w:rtl w:val="0"/>
        </w:rPr>
        <w:t xml:space="preserve"> Federal rent help paid to landlords on a tenant's behalf; NH bills to ban voucher discrimination died three times, and a landlord-incentive version sits in interim study.</w:t>
      </w:r>
    </w:p>
    <w:p>
      <w:pPr>
        <w:sectPr>
          <w:type w:val="continuous"/>
          <w:pgSz w:h="15840" w:w="12240" w:orient="portrait"/>
          <w:pgMar w:bottom="864" w:top="864" w:left="864" w:right="864" w:header="720" w:footer="720"/>
          <w:cols w:equalWidth="0" w:num="2">
            <w:col w:space="240" w:w="5135.999999999999"/>
            <w:col w:space="0" w:w="5135.999999999999"/>
          </w:cols>
        </w:sectPr>
      </w:pP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Workforce housing:</w:t>
      </w:r>
      <w:r>
        <w:rPr>
          <w:rFonts w:ascii="Arial" w:cs="Arial" w:eastAsia="Arial" w:hAnsi="Arial"/>
          <w:color w:val="444444"/>
          <w:sz w:val="20"/>
          <w:szCs w:val="20"/>
          <w:rtl w:val="0"/>
        </w:rPr>
        <w:t xml:space="preserve"> Housing affordable at working-household incomes as defined in RSA 674:58–61, which requires municipalities to provide reasonable opportunities for it; a 2026 repeal attempt went to interim study.</w:t>
      </w:r>
    </w:p>
    <w:p>
      <w:pPr>
        <w:sectPr>
          <w:type w:val="nextPage"/>
          <w:pgSz w:h="15840" w:w="12240" w:orient="portrait"/>
          <w:pgMar w:bottom="864" w:top="864" w:left="864" w:right="864" w:header="720" w:footer="720"/>
        </w:sectPr>
      </w:pPr>
    </w:p>
    <w:p>
      <w:pPr>
        <w:spacing w:before="84" w:after="36" w:line="254" w:lineRule="auto"/>
        <w:r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HB / SB / CACR / HR:</w:t>
      </w:r>
      <w:r>
        <w:rPr>
          <w:rFonts w:ascii="Arial" w:cs="Arial" w:eastAsia="Arial" w:hAnsi="Arial"/>
          <w:color w:val="444444"/>
          <w:sz w:val="20"/>
          <w:szCs w:val="20"/>
          <w:rtl w:val="0"/>
        </w:rPr>
        <w:t xml:space="preserve"> House Bill and Senate Bill (the chamber a bill started in, plus a number); CACR is a proposed constitutional amendment; HR is a House resolution, which expresses a position but is not law. Numbering restarts each biennium, so the same number in different years is usually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400-member House of Representatives and the 24-member Senate — the largest and one of the smallest state chambers in the country. A bill must pass both to reach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Session / biennium:</w:t>
      </w:r>
      <w:r>
        <w:rPr>
          <w:rFonts w:ascii="Arial" w:cs="Arial" w:eastAsia="Arial" w:hAnsi="Arial"/>
          <w:color w:val="444444"/>
          <w:sz w:val="20"/>
          <w:szCs w:val="20"/>
          <w:rtl w:val="0"/>
        </w:rPr>
        <w:t xml:space="preserve"> The Legislature meets every year, but bills live inside a two-year biennium (2021–22, 2023–24, 2025–26); a first-year bill can be carried into the second year under the same number.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trailer (HB2):</w:t>
      </w:r>
      <w:r>
        <w:rPr>
          <w:rFonts w:ascii="Arial" w:cs="Arial" w:eastAsia="Arial" w:hAnsi="Arial"/>
          <w:color w:val="444444"/>
          <w:sz w:val="20"/>
          <w:szCs w:val="20"/>
          <w:rtl w:val="0"/>
        </w:rPr>
        <w:t xml:space="preserve"> The omnibus policy bill that accompanies each two-year budget (HB1 carries the dollars). Dozens to hundreds of unrelated law changes ride in numbered sections — much of NH housing law is made here. Votes are on the whole trailer, never on one section.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Chapter law:</w:t>
      </w:r>
      <w:r>
        <w:rPr>
          <w:rFonts w:ascii="Arial" w:cs="Arial" w:eastAsia="Arial" w:hAnsi="Arial"/>
          <w:color w:val="444444"/>
          <w:sz w:val="20"/>
          <w:szCs w:val="20"/>
          <w:rtl w:val="0"/>
        </w:rPr>
        <w:t xml:space="preserve"> A bill that becomes law is assigned a chapter number for its year — "Chapter 197"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 — Ought to Pass (OTP) / OTP with Amendment (OTPA) / Inexpedient to Legislate (ITL):</w:t>
      </w:r>
      <w:r>
        <w:rPr>
          <w:rFonts w:ascii="Arial" w:cs="Arial" w:eastAsia="Arial" w:hAnsi="Arial"/>
          <w:color w:val="444444"/>
          <w:sz w:val="20"/>
          <w:szCs w:val="20"/>
          <w:rtl w:val="0"/>
        </w:rPr>
        <w:t xml:space="preserve"> The committee's recommendation to the floor: pass, pass as changed, or kill. "Inexpedient to Legislate" adopted by either chamber is the standard way a New Hampshire bill dies.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Consent calendar:</w:t>
      </w:r>
      <w:r>
        <w:rPr>
          <w:rFonts w:ascii="Arial" w:cs="Arial" w:eastAsia="Arial" w:hAnsi="Arial"/>
          <w:color w:val="444444"/>
          <w:sz w:val="20"/>
          <w:szCs w:val="20"/>
          <w:rtl w:val="0"/>
        </w:rPr>
        <w:t xml:space="preserve"> A batch of uncontested committee recommendations approved in one voice vote; many bills die (or pass) this way without an individual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division / voice vote:</w:t>
      </w:r>
      <w:r>
        <w:rPr>
          <w:rFonts w:ascii="Arial" w:cs="Arial" w:eastAsia="Arial" w:hAnsi="Arial"/>
          <w:color w:val="444444"/>
          <w:sz w:val="20"/>
          <w:szCs w:val="20"/>
          <w:rtl w:val="0"/>
        </w:rPr>
        <w:t xml:space="preserve"> A roll call records each member's vote by name; a division counts votes without names; a voice vote records nothing. Many decisive outcomes in these documents happened on division or voice votes, which is why they carry no member-level tallies.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Laid on the table:</w:t>
      </w:r>
      <w:r>
        <w:rPr>
          <w:rFonts w:ascii="Arial" w:cs="Arial" w:eastAsia="Arial" w:hAnsi="Arial"/>
          <w:color w:val="444444"/>
          <w:sz w:val="20"/>
          <w:szCs w:val="20"/>
          <w:rtl w:val="0"/>
        </w:rPr>
        <w:t xml:space="preserve"> A motion that sets a bill aside; unless a later motion removes it, the bill dies there at the session's end.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Interim study:</w:t>
      </w:r>
      <w:r>
        <w:rPr>
          <w:rFonts w:ascii="Arial" w:cs="Arial" w:eastAsia="Arial" w:hAnsi="Arial"/>
          <w:color w:val="444444"/>
          <w:sz w:val="20"/>
          <w:szCs w:val="20"/>
          <w:rtl w:val="0"/>
        </w:rPr>
        <w:t xml:space="preserve"> A committee keeps the bill for study between sessions instead of passing or killing it; the bill itself is dead, but the idea may return with a recommendation.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Retained / rereferred:</w:t>
      </w:r>
      <w:r>
        <w:rPr>
          <w:rFonts w:ascii="Arial" w:cs="Arial" w:eastAsia="Arial" w:hAnsi="Arial"/>
          <w:color w:val="444444"/>
          <w:sz w:val="20"/>
          <w:szCs w:val="20"/>
          <w:rtl w:val="0"/>
        </w:rPr>
        <w:t xml:space="preserve"> The House retains, the Senate rereferrs — the committee keeps a first-year bill over the summer and acts on it in the second year of the biennium.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of conference:</w:t>
      </w:r>
      <w:r>
        <w:rPr>
          <w:rFonts w:ascii="Arial" w:cs="Arial" w:eastAsia="Arial" w:hAnsi="Arial"/>
          <w:color w:val="444444"/>
          <w:sz w:val="20"/>
          <w:szCs w:val="20"/>
          <w:rtl w:val="0"/>
        </w:rPr>
        <w:t xml:space="preserve"> Negotiators from both chambers reconcile differing versions; if they cannot agree, or a chamber rejects the report, the bill dies "between the chambers."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 / nonconcur:</w:t>
      </w:r>
      <w:r>
        <w:rPr>
          <w:rFonts w:ascii="Arial" w:cs="Arial" w:eastAsia="Arial" w:hAnsi="Arial"/>
          <w:color w:val="444444"/>
          <w:sz w:val="20"/>
          <w:szCs w:val="20"/>
          <w:rtl w:val="0"/>
        </w:rPr>
        <w:t xml:space="preserve"> When the second chamber amends a bill, the first chamber must accept (concur in) the change, ask for a conference, or let the bill die.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Senate Rule 3-23 deadline:</w:t>
      </w:r>
      <w:r>
        <w:rPr>
          <w:rFonts w:ascii="Arial" w:cs="Arial" w:eastAsia="Arial" w:hAnsi="Arial"/>
          <w:color w:val="444444"/>
          <w:sz w:val="20"/>
          <w:szCs w:val="20"/>
          <w:rtl w:val="0"/>
        </w:rPr>
        <w:t xml:space="preserve"> The Senate's internal end-of-year deadline; bills still pending are automatically declared Inexpedient to Legislate — several housing bills died this way in 2025 after unanimous votes.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Governor and Executive Council:</w:t>
      </w:r>
      <w:r>
        <w:rPr>
          <w:rFonts w:ascii="Arial" w:cs="Arial" w:eastAsia="Arial" w:hAnsi="Arial"/>
          <w:color w:val="444444"/>
          <w:sz w:val="20"/>
          <w:szCs w:val="20"/>
          <w:rtl w:val="0"/>
        </w:rPr>
        <w:t xml:space="preserve"> The Governor signs or vetoes bills; the elected five-member Executive Council confirms appointments — including, since 2025, Housing Appeals Board members serving "at the pleasure of" both.</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Governor's rejection of a passed bill; overriding takes two-thirds of each chamber. Three housing bills were vetoed in this record, and no override succeeded.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prime sponsor:</w:t>
      </w:r>
      <w:r>
        <w:rPr>
          <w:rFonts w:ascii="Arial" w:cs="Arial" w:eastAsia="Arial" w:hAnsi="Arial"/>
          <w:color w:val="444444"/>
          <w:sz w:val="20"/>
          <w:szCs w:val="20"/>
          <w:rtl w:val="0"/>
        </w:rPr>
        <w:t xml:space="preserve"> The lawmakers who formally introduce a bill; the prime sponsor is its lead author. Cross-party sponsor teams appear throughout the housing-supply record.</w:t>
      </w:r>
    </w:p>
    <w:p>
      <w:pPr>
        <w:sectPr>
          <w:type w:val="continuous"/>
          <w:pgSz w:h="15840" w:w="12240" w:orient="portrait"/>
          <w:pgMar w:bottom="864" w:top="864" w:left="864" w:right="864" w:header="720" w:footer="720"/>
          <w:cols w:equalWidth="0" w:num="2">
            <w:col w:space="240" w:w="5135.999999999999"/>
            <w:col w:space="0" w:w="5135.999999999999"/>
          </w:cols>
        </w:sectPr>
      </w:pP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Vote pairs such as "220–143":</w:t>
      </w:r>
      <w:r>
        <w:rPr>
          <w:rFonts w:ascii="Arial" w:cs="Arial" w:eastAsia="Arial" w:hAnsi="Arial"/>
          <w:color w:val="444444"/>
          <w:sz w:val="20"/>
          <w:szCs w:val="20"/>
          <w:rtl w:val="0"/>
        </w:rPr>
        <w:t xml:space="preserve"> Floor votes are yes–no tallies, one per chamber; in the 400-member House a bill can pass by a wide margin and still die in the 24-member Senate.</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NH1 Housing Legislative Brief v1.0</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