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Policy Spotlights — Housing Brief</w:t>
      </w:r>
    </w:p>
    <w:p>
      <w:pPr>
        <w:widowControl/>
        <w:spacing w:before="0" w:after="120" w:lineRule="auto" w:line="254"/>
      </w:pPr>
      <w:r>
        <w:rPr>
          <w:rFonts w:ascii="Arial" w:hAnsi="Arial" w:cs="Arial" w:eastAsia="Arial"/>
          <w:b w:val="0"/>
          <w:color w:val="444444"/>
          <w:sz w:val="20"/>
        </w:rPr>
        <w:t>A focused, bill-by-bill look at how far each short-listed housing proposal has traveled. Each policy is sorted into the same viability groups the brief uses, so the brief's top section shows what is viable overall and these spotlights show how viable one policy may be.</w:t>
      </w:r>
    </w:p>
    <w:p>
      <w:pPr>
        <w:widowControl/>
        <w:spacing w:before="84" w:after="36" w:lineRule="auto" w:line="254"/>
      </w:pPr>
      <w:r>
        <w:rPr>
          <w:rFonts w:ascii="Arial" w:hAnsi="Arial" w:cs="Arial" w:eastAsia="Arial"/>
          <w:b/>
          <w:color w:val="C0392B"/>
          <w:sz w:val="25"/>
          <w:spacing w:val="20"/>
        </w:rPr>
        <w:t>LIMITING CORPORATE OWNERSHIP OF HOUSING</w:t>
      </w:r>
    </w:p>
    <w:p>
      <w:pPr>
        <w:widowControl/>
        <w:spacing w:before="0" w:after="60" w:lineRule="auto" w:line="276"/>
      </w:pPr>
      <w:r>
        <w:rPr>
          <w:rFonts w:ascii="Arial" w:hAnsi="Arial" w:cs="Arial" w:eastAsia="Arial"/>
          <w:b w:val="0"/>
          <w:i/>
          <w:color w:val="666666"/>
          <w:sz w:val="20"/>
        </w:rPr>
        <w:t>The most-advanced unfinished housing idea in the record: a unanimous Senate and repeated near-misses, but no version has cleared the final step. Its sponsor, Senator Dina Neal (D), still serves.</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AB457 (2025):</w:t>
      </w:r>
      <w:r>
        <w:rPr>
          <w:rFonts w:ascii="Arial" w:hAnsi="Arial" w:cs="Arial" w:eastAsia="Arial"/>
          <w:b w:val="0"/>
          <w:color w:val="444444"/>
          <w:sz w:val="20"/>
        </w:rPr>
        <w:t xml:space="preserve"> launched an interim study of how corporate rental-property owners are taxed, reporting for 2027.</w:t>
      </w:r>
    </w:p>
    <w:p>
      <w:pPr>
        <w:widowControl/>
        <w:spacing w:before="70" w:after="30" w:lineRule="auto" w:line="250"/>
      </w:pPr>
      <w:r>
        <w:rPr>
          <w:rFonts w:ascii="Arial" w:hAnsi="Arial" w:cs="Arial" w:eastAsia="Arial"/>
          <w:b/>
          <w:color w:val="2E4A78"/>
          <w:sz w:val="24"/>
        </w:rPr>
        <w:t>Closest to law (passed both chambers)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SB395 (2023):</w:t>
      </w:r>
      <w:r>
        <w:rPr>
          <w:rFonts w:ascii="Arial" w:hAnsi="Arial" w:cs="Arial" w:eastAsia="Arial"/>
          <w:b w:val="0"/>
          <w:color w:val="444444"/>
          <w:sz w:val="20"/>
        </w:rPr>
        <w:t xml:space="preserve"> 1,000-home yearly cap on corporate and LLC home purchases; passed 14–6 and 28–14; vetoed.</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SB10 (November 2025 special session):</w:t>
      </w:r>
      <w:r>
        <w:rPr>
          <w:rFonts w:ascii="Arial" w:hAnsi="Arial" w:cs="Arial" w:eastAsia="Arial"/>
          <w:b w:val="0"/>
          <w:color w:val="444444"/>
          <w:sz w:val="20"/>
        </w:rPr>
        <w:t xml:space="preserve"> a 1,000-home cap plus an investor registry; passed the Senate 18–0 and won the Assembly 27–10 — one vote short of the two-thirds its fees required.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SB391 (2025):</w:t>
      </w:r>
      <w:r>
        <w:rPr>
          <w:rFonts w:ascii="Arial" w:hAnsi="Arial" w:cs="Arial" w:eastAsia="Arial"/>
          <w:b w:val="0"/>
          <w:color w:val="444444"/>
          <w:sz w:val="20"/>
        </w:rPr>
        <w:t xml:space="preserve"> cut the cap to 100 homes a year; passed the Senate 13–8 and died in the Assembly.</w:t>
      </w:r>
    </w:p>
    <w:p>
      <w:pPr>
        <w:widowControl/>
        <w:spacing w:before="84" w:after="36" w:lineRule="auto" w:line="254"/>
      </w:pPr>
      <w:r>
        <w:rPr>
          <w:rFonts w:ascii="Arial" w:hAnsi="Arial" w:cs="Arial" w:eastAsia="Arial"/>
          <w:b/>
          <w:color w:val="C0392B"/>
          <w:sz w:val="25"/>
          <w:spacing w:val="20"/>
        </w:rPr>
        <w:t>ZONING REFORM AND SMALLER, DENSER HOMES</w:t>
      </w:r>
    </w:p>
    <w:p>
      <w:pPr>
        <w:widowControl/>
        <w:spacing w:before="0" w:after="60" w:lineRule="auto" w:line="276"/>
      </w:pPr>
      <w:r>
        <w:rPr>
          <w:rFonts w:ascii="Arial" w:hAnsi="Arial" w:cs="Arial" w:eastAsia="Arial"/>
          <w:b w:val="0"/>
          <w:i/>
          <w:color w:val="666666"/>
          <w:sz w:val="20"/>
        </w:rPr>
        <w:t>The record's clearest recent wins: the mandates and code updates are now law, and only the incentive approach is untested.</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AB396 (2025):</w:t>
      </w:r>
      <w:r>
        <w:rPr>
          <w:rFonts w:ascii="Arial" w:hAnsi="Arial" w:cs="Arial" w:eastAsia="Arial"/>
          <w:b w:val="0"/>
          <w:color w:val="444444"/>
          <w:sz w:val="20"/>
        </w:rPr>
        <w:t xml:space="preserve"> requires the largest jurisdictions to allow accessory dwelling units; 27–15 and 14–7.</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AB241 (2025):</w:t>
      </w:r>
      <w:r>
        <w:rPr>
          <w:rFonts w:ascii="Arial" w:hAnsi="Arial" w:cs="Arial" w:eastAsia="Arial"/>
          <w:b w:val="0"/>
          <w:color w:val="444444"/>
          <w:sz w:val="20"/>
        </w:rPr>
        <w:t xml:space="preserve"> requires apartments and mixed-use housing by right on commercial land; 28–14 and 15–6.</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AB38 (2025):</w:t>
      </w:r>
      <w:r>
        <w:rPr>
          <w:rFonts w:ascii="Arial" w:hAnsi="Arial" w:cs="Arial" w:eastAsia="Arial"/>
          <w:b w:val="0"/>
          <w:color w:val="444444"/>
          <w:sz w:val="20"/>
        </w:rPr>
        <w:t xml:space="preserve"> modernized the factory-built housing code; 40–2 and 17–3.</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SB150 (2021):</w:t>
      </w:r>
      <w:r>
        <w:rPr>
          <w:rFonts w:ascii="Arial" w:hAnsi="Arial" w:cs="Arial" w:eastAsia="Arial"/>
          <w:b w:val="0"/>
          <w:color w:val="444444"/>
          <w:sz w:val="20"/>
        </w:rPr>
        <w:t xml:space="preserve"> legalized tiny houses in some zones.</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SB430 (2025):</w:t>
      </w:r>
      <w:r>
        <w:rPr>
          <w:rFonts w:ascii="Arial" w:hAnsi="Arial" w:cs="Arial" w:eastAsia="Arial"/>
          <w:b w:val="0"/>
          <w:color w:val="444444"/>
          <w:sz w:val="20"/>
        </w:rPr>
        <w:t xml:space="preserve"> tax credits for builders of at-cost starter homes; died in Senate Revenue without a vote — untested rather than rejected.</w:t>
      </w:r>
    </w:p>
    <w:p>
      <w:pPr>
        <w:widowControl/>
        <w:spacing w:before="84" w:after="36" w:lineRule="auto" w:line="254"/>
      </w:pPr>
      <w:r>
        <w:rPr>
          <w:rFonts w:ascii="Arial" w:hAnsi="Arial" w:cs="Arial" w:eastAsia="Arial"/>
          <w:b/>
          <w:color w:val="C0392B"/>
          <w:sz w:val="25"/>
          <w:spacing w:val="20"/>
        </w:rPr>
        <w:t>AFFORDABLE-HOUSING SHARES AND IN-LIEU FUNDS</w:t>
      </w:r>
    </w:p>
    <w:p>
      <w:pPr>
        <w:widowControl/>
        <w:spacing w:before="0" w:after="60" w:lineRule="auto" w:line="276"/>
      </w:pPr>
      <w:r>
        <w:rPr>
          <w:rFonts w:ascii="Arial" w:hAnsi="Arial" w:cs="Arial" w:eastAsia="Arial"/>
          <w:b w:val="0"/>
          <w:i/>
          <w:color w:val="666666"/>
          <w:sz w:val="20"/>
        </w:rPr>
        <w:t>The requirement itself has never been filed; related bills stop in a Government Affairs committee or at the governor's desk.</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SB103 (2019):</w:t>
      </w:r>
      <w:r>
        <w:rPr>
          <w:rFonts w:ascii="Arial" w:hAnsi="Arial" w:cs="Arial" w:eastAsia="Arial"/>
          <w:b w:val="0"/>
          <w:color w:val="444444"/>
          <w:sz w:val="20"/>
        </w:rPr>
        <w:t xml:space="preserve"> lets local governments reduce fees for affordable-housing projects — the opposite of a requirement.</w:t>
      </w:r>
    </w:p>
    <w:p>
      <w:pPr>
        <w:widowControl/>
        <w:spacing w:before="70" w:after="30" w:lineRule="auto" w:line="250"/>
      </w:pPr>
      <w:r>
        <w:rPr>
          <w:rFonts w:ascii="Arial" w:hAnsi="Arial" w:cs="Arial" w:eastAsia="Arial"/>
          <w:b/>
          <w:color w:val="2E4A78"/>
          <w:sz w:val="24"/>
        </w:rPr>
        <w:t>Closest to law (passed both chambers)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SB371 (2023):</w:t>
      </w:r>
      <w:r>
        <w:rPr>
          <w:rFonts w:ascii="Arial" w:hAnsi="Arial" w:cs="Arial" w:eastAsia="Arial"/>
          <w:b w:val="0"/>
          <w:color w:val="444444"/>
          <w:sz w:val="20"/>
        </w:rPr>
        <w:t xml:space="preserve"> confirmed local authority to require affordable housing; passed 12–9 and 26–14; vetoed.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SB99 (2025):</w:t>
      </w:r>
      <w:r>
        <w:rPr>
          <w:rFonts w:ascii="Arial" w:hAnsi="Arial" w:cs="Arial" w:eastAsia="Arial"/>
          <w:b w:val="0"/>
          <w:color w:val="444444"/>
          <w:sz w:val="20"/>
        </w:rPr>
        <w:t xml:space="preserve"> a metro developer linkage fee for affordable housing; passed 14–6 and 27–15; delivered to the governor May 27, 2025 and never signed.</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SB289 (2025):</w:t>
      </w:r>
      <w:r>
        <w:rPr>
          <w:rFonts w:ascii="Arial" w:hAnsi="Arial" w:cs="Arial" w:eastAsia="Arial"/>
          <w:b w:val="0"/>
          <w:color w:val="444444"/>
          <w:sz w:val="20"/>
        </w:rPr>
        <w:t xml:space="preserve"> the retry of local authority; died in Senate Government Affairs.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AB331 and AB334 (2021):</w:t>
      </w:r>
      <w:r>
        <w:rPr>
          <w:rFonts w:ascii="Arial" w:hAnsi="Arial" w:cs="Arial" w:eastAsia="Arial"/>
          <w:b w:val="0"/>
          <w:color w:val="444444"/>
          <w:sz w:val="20"/>
        </w:rPr>
        <w:t xml:space="preserve"> pay-instead-of-build in-lieu funds; died in their first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SB471 (2019):</w:t>
      </w:r>
      <w:r>
        <w:rPr>
          <w:rFonts w:ascii="Arial" w:hAnsi="Arial" w:cs="Arial" w:eastAsia="Arial"/>
          <w:b w:val="0"/>
          <w:color w:val="444444"/>
          <w:sz w:val="20"/>
        </w:rPr>
        <w:t xml:space="preserve"> school impact fees; died in Government Affairs.</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No bill has ever required new developments to include a share of affordable units.</w:t>
      </w:r>
    </w:p>
    <w:p>
      <w:pPr>
        <w:widowControl/>
        <w:spacing w:before="84" w:after="36" w:lineRule="auto" w:line="254"/>
      </w:pPr>
      <w:r>
        <w:rPr>
          <w:rFonts w:ascii="Arial" w:hAnsi="Arial" w:cs="Arial" w:eastAsia="Arial"/>
          <w:b/>
          <w:color w:val="C0392B"/>
          <w:sz w:val="25"/>
          <w:spacing w:val="20"/>
        </w:rPr>
        <w:t>DOWN-PAYMENT HELP FOR FIRST-TIME BUYERS</w:t>
      </w:r>
    </w:p>
    <w:p>
      <w:pPr>
        <w:widowControl/>
        <w:spacing w:before="0" w:after="60" w:lineRule="auto" w:line="276"/>
      </w:pPr>
      <w:r>
        <w:rPr>
          <w:rFonts w:ascii="Arial" w:hAnsi="Arial" w:cs="Arial" w:eastAsia="Arial"/>
          <w:b w:val="0"/>
          <w:i/>
          <w:color w:val="666666"/>
          <w:sz w:val="20"/>
        </w:rPr>
        <w:t>Real cross-party Senate support, but the Assembly has never voted on it. Existing buyer programs run through the Housing Division's bond authority rather than session law, and federal FHA and VA loans cover part of the ground.</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SB188 (2021):</w:t>
      </w:r>
      <w:r>
        <w:rPr>
          <w:rFonts w:ascii="Arial" w:hAnsi="Arial" w:cs="Arial" w:eastAsia="Arial"/>
          <w:b w:val="0"/>
          <w:color w:val="444444"/>
          <w:sz w:val="20"/>
        </w:rPr>
        <w:t xml:space="preserve"> created donor-matched savings accounts toward a first home.</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SB193 (2025):</w:t>
      </w:r>
      <w:r>
        <w:rPr>
          <w:rFonts w:ascii="Arial" w:hAnsi="Arial" w:cs="Arial" w:eastAsia="Arial"/>
          <w:b w:val="0"/>
          <w:color w:val="444444"/>
          <w:sz w:val="20"/>
        </w:rPr>
        <w:t xml:space="preserve"> a state pilot lowering mortgage rates for eligible first-home borrowers; passed the Senate 14–5 (three Republicans) and died in the Assembly without a vote.</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The 2019 version of the matched-savings idea failed on the Senate floor before returning and passing as SB188.</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v4.0; proposals from the working-group rubric</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Housing Policy Spotlights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