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Rule="auto" w:line="254"/>
      </w:pPr>
      <w:r>
        <w:rPr>
          <w:rFonts w:ascii="Arial" w:hAnsi="Arial" w:cs="Arial" w:eastAsia="Arial"/>
          <w:b/>
          <w:color w:val="1A2D4F"/>
          <w:sz w:val="18"/>
          <w:spacing w:val="20"/>
        </w:rPr>
        <w:t>T H E   F O R U M</w:t>
      </w:r>
    </w:p>
    <w:p>
      <w:pPr>
        <w:spacing w:before="0" w:after="120" w:lineRule="auto" w:line="254"/>
        <w:pBdr>
          <w:bottom w:val="single" w:sz="20" w:space="2" w:color="1A2D4F"/>
        </w:pBdr>
      </w:pPr>
    </w:p>
    <w:p>
      <w:pPr>
        <w:spacing w:before="0" w:after="40" w:lineRule="auto" w:line="252"/>
      </w:pPr>
      <w:r>
        <w:rPr>
          <w:rFonts w:ascii="Arial" w:hAnsi="Arial" w:cs="Arial" w:eastAsia="Arial"/>
          <w:b/>
          <w:color w:val="1A2D4F"/>
          <w:sz w:val="34"/>
        </w:rPr>
        <w:t>The Rising Cost of Living in Nevada: Health Care</w:t>
      </w:r>
    </w:p>
    <w:p>
      <w:pPr>
        <w:spacing w:before="0" w:after="120" w:lineRule="auto" w:line="254"/>
      </w:pPr>
      <w:r>
        <w:rPr>
          <w:rFonts w:ascii="Arial" w:hAnsi="Arial" w:cs="Arial" w:eastAsia="Arial"/>
          <w:b w:val="0"/>
          <w:color w:val="444444"/>
          <w:sz w:val="17"/>
        </w:rPr>
        <w:t>The legislative record behind Nevadans' ten most common healthcare-cost proposals, 2019–2025 — organized by how far each idea has traveled toward law.</w:t>
      </w:r>
    </w:p>
    <w:p>
      <w:pPr>
        <w:spacing w:before="100" w:after="50" w:lineRule="auto" w:line="254"/>
      </w:pPr>
      <w:r>
        <w:rPr>
          <w:rFonts w:ascii="Arial" w:hAnsi="Arial" w:cs="Arial" w:eastAsia="Arial"/>
          <w:b/>
          <w:color w:val="C0392B"/>
          <w:sz w:val="21"/>
          <w:spacing w:val="20"/>
        </w:rPr>
        <w:t>WHAT THIS BRIEF COVERS AND HOW IT IS ORGANIZED</w:t>
      </w:r>
    </w:p>
    <w:p>
      <w:pPr>
        <w:spacing w:before="0" w:after="64" w:lineRule="auto" w:line="250"/>
        <w:jc w:val="both"/>
      </w:pPr>
      <w:r>
        <w:rPr>
          <w:rFonts w:ascii="Arial" w:hAnsi="Arial" w:cs="Arial" w:eastAsia="Arial"/>
          <w:b w:val="0"/>
          <w:color w:val="444444"/>
          <w:sz w:val="17"/>
        </w:rPr>
        <w:t>Nevada's Legislature took up 409 healthcare-cost bills across its 2019, 2021, 2023, and 2025 sessions, and 221 became law — the deepest well of enacted precedent of any issue The Forum has mapped, and most of it consensus law (see Key numbers). Bills that fall short mostly stop early and quietly, and the most consequential recent losses were late-stage timing accidents — one returned three months after its final-day death and passed in the November 2025 special session. The sections below sort the record by distance traveled: bills that passed both chambers, then bills with a winning vote behind them, then settled law and its openings, then routes with no traction yet — with notes on momentum, federal overlap, and sponsors.</w:t>
      </w:r>
    </w:p>
    <w:p>
      <w:pPr>
        <w:spacing w:before="100" w:after="50" w:lineRule="auto" w:line="254"/>
      </w:pPr>
      <w:r>
        <w:rPr>
          <w:rFonts w:ascii="Arial" w:hAnsi="Arial" w:cs="Arial" w:eastAsia="Arial"/>
          <w:b/>
          <w:color w:val="C0392B"/>
          <w:sz w:val="21"/>
          <w:spacing w:val="20"/>
        </w:rPr>
        <w:t>KEY NUMBERS: HOW FAR HEALTHCARE-COST PROPOSALS HAVE TRAVELED</w:t>
      </w:r>
    </w:p>
    <w:p>
      <w:pPr>
        <w:spacing w:before="0" w:after="60" w:lineRule="auto" w:line="254"/>
      </w:pPr>
      <w:r>
        <w:rPr>
          <w:rFonts w:ascii="Arial" w:hAnsi="Arial" w:cs="Arial" w:eastAsia="Arial"/>
          <w:b w:val="0"/>
          <w:i/>
          <w:color w:val="666666"/>
          <w:sz w:val="16"/>
        </w:rPr>
        <w:t>Each figure below is unpacked, bill by bill, in the section it points to.</w:t>
      </w:r>
    </w:p>
    <w:tbl>
      <w:tblPr>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409</w:t>
            </w:r>
          </w:p>
          <w:p>
            <w:pPr>
              <w:spacing w:after="0" w:line="240" w:lineRule="auto"/>
            </w:pPr>
            <w:r>
              <w:rPr>
                <w:rFonts w:ascii="Arial" w:hAnsi="Arial" w:cs="Arial" w:eastAsia="Arial"/>
                <w:b w:val="0"/>
                <w:color w:val="666666"/>
                <w:sz w:val="13"/>
              </w:rPr>
              <w:t>healthcare-cost bills taken up, 2019–2025</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221</w:t>
            </w:r>
          </w:p>
          <w:p>
            <w:pPr>
              <w:spacing w:after="0" w:line="240" w:lineRule="auto"/>
            </w:pPr>
            <w:r>
              <w:rPr>
                <w:rFonts w:ascii="Arial" w:hAnsi="Arial" w:cs="Arial" w:eastAsia="Arial"/>
                <w:b w:val="0"/>
                <w:color w:val="666666"/>
                <w:sz w:val="13"/>
              </w:rPr>
              <w:t>became law</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187</w:t>
            </w:r>
          </w:p>
          <w:p>
            <w:pPr>
              <w:spacing w:after="0" w:line="240" w:lineRule="auto"/>
            </w:pPr>
            <w:r>
              <w:rPr>
                <w:rFonts w:ascii="Arial" w:hAnsi="Arial" w:cs="Arial" w:eastAsia="Arial"/>
                <w:b w:val="0"/>
                <w:color w:val="666666"/>
                <w:sz w:val="13"/>
              </w:rPr>
              <w:t>of those laws passed with a unanimous floor vote in at least one chamber</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42–0</w:t>
            </w:r>
          </w:p>
          <w:p>
            <w:pPr>
              <w:spacing w:after="0" w:line="240" w:lineRule="auto"/>
            </w:pPr>
            <w:r>
              <w:rPr>
                <w:rFonts w:ascii="Arial" w:hAnsi="Arial" w:cs="Arial" w:eastAsia="Arial"/>
                <w:b w:val="0"/>
                <w:color w:val="666666"/>
                <w:sz w:val="13"/>
              </w:rPr>
              <w:t>Assembly vote on SB316 (2025), the PBM bill that died awaiting final concurrence</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3"/>
              </w:rPr>
              <w:t>4 of 5</w:t>
            </w:r>
          </w:p>
          <w:p>
            <w:pPr>
              <w:spacing w:after="0" w:line="240" w:lineRule="auto"/>
            </w:pPr>
            <w:r>
              <w:rPr>
                <w:rFonts w:ascii="Arial" w:hAnsi="Arial" w:cs="Arial" w:eastAsia="Arial"/>
                <w:b w:val="0"/>
                <w:color w:val="666666"/>
                <w:sz w:val="13"/>
              </w:rPr>
              <w:t>health-profession licensure compacts enacted — every one except nursing</w:t>
            </w:r>
          </w:p>
        </w:tc>
      </w:tr>
    </w:tbl>
    <w:p>
      <w:pPr>
        <w:spacing w:before="0" w:after="100" w:lineRule="auto" w:line="254"/>
      </w:pPr>
    </w:p>
    <w:p>
      <w:pPr>
        <w:spacing w:before="100" w:after="50" w:lineRule="auto" w:line="254"/>
      </w:pPr>
      <w:r>
        <w:rPr>
          <w:rFonts w:ascii="Arial" w:hAnsi="Arial" w:cs="Arial" w:eastAsia="Arial"/>
          <w:b/>
          <w:color w:val="C0392B"/>
          <w:sz w:val="21"/>
          <w:spacing w:val="20"/>
        </w:rPr>
        <w:t>CLOSEST TO LAW: BILLS THAT PASSED BOTH CHAMBERS AND STOPPED AT THE LAST STEP</w:t>
      </w:r>
    </w:p>
    <w:p>
      <w:pPr>
        <w:spacing w:before="0" w:after="50" w:lineRule="auto" w:line="250"/>
      </w:pPr>
      <w:r>
        <w:rPr>
          <w:rFonts w:ascii="Arial" w:hAnsi="Arial" w:cs="Arial" w:eastAsia="Arial"/>
          <w:b w:val="0"/>
          <w:i/>
          <w:color w:val="666666"/>
          <w:sz w:val="15"/>
        </w:rPr>
        <w:t>These bills assembled majorities in both houses; only a veto or the session clock separated them from statute — the record's most advanced unfinished work.</w:t>
      </w:r>
    </w:p>
    <w:p>
      <w:pPr>
        <w:spacing w:before="70" w:after="30" w:lineRule="auto" w:line="250"/>
      </w:pPr>
      <w:r>
        <w:rPr>
          <w:rFonts w:ascii="Arial" w:hAnsi="Arial" w:cs="Arial" w:eastAsia="Arial"/>
          <w:b/>
          <w:color w:val="2E4A78"/>
          <w:sz w:val="18"/>
        </w:rPr>
        <w:t>Passed both chambers, lost to the clock</w:t>
      </w:r>
    </w:p>
    <w:p>
      <w:pPr>
        <w:spacing w:before="0" w:after="64" w:lineRule="auto" w:line="250"/>
        <w:jc w:val="both"/>
      </w:pPr>
      <w:r>
        <w:rPr>
          <w:rFonts w:ascii="Arial" w:hAnsi="Arial" w:cs="Arial" w:eastAsia="Arial"/>
          <w:b/>
          <w:color w:val="1A2D4F"/>
          <w:sz w:val="17"/>
        </w:rPr>
        <w:t>Comprehensive PBM regulation — SB316 (2025).</w:t>
      </w:r>
      <w:r>
        <w:rPr>
          <w:rFonts w:ascii="Arial" w:hAnsi="Arial" w:cs="Arial" w:eastAsia="Arial"/>
          <w:b w:val="0"/>
          <w:color w:val="444444"/>
          <w:sz w:val="17"/>
        </w:rPr>
        <w:t xml:space="preserve"> Passed the Senate 18–2 and the Assembly 42–0, then died on the session's final day without concurrence on the last amendment. No pharmacy-benefit-manager bill has ever lost a floor vote in this record; this one came within a procedural step of statute. The 2023 version, SB352, passed the Senate 21–0 before dying in the Assembly — the design strengthens every session.</w:t>
      </w:r>
    </w:p>
    <w:p>
      <w:pPr>
        <w:spacing w:before="0" w:after="64" w:lineRule="auto" w:line="250"/>
        <w:jc w:val="both"/>
      </w:pPr>
      <w:r>
        <w:rPr>
          <w:rFonts w:ascii="Arial" w:hAnsi="Arial" w:cs="Arial" w:eastAsia="Arial"/>
          <w:b/>
          <w:color w:val="1A2D4F"/>
          <w:sz w:val="17"/>
        </w:rPr>
        <w:t>The provider-shortage grant program — SB434 (2025) — already converted.</w:t>
      </w:r>
      <w:r>
        <w:rPr>
          <w:rFonts w:ascii="Arial" w:hAnsi="Arial" w:cs="Arial" w:eastAsia="Arial"/>
          <w:b w:val="0"/>
          <w:color w:val="444444"/>
          <w:sz w:val="17"/>
        </w:rPr>
        <w:t xml:space="preserve"> It passed 18–2 and 42–0, died on the last day without Senate concurrence in the final amendment, and was enacted three months later as SB5 of the 36th (2025) Special Session, 15–6 and 37–0 — proof that a clock death is not a policy defeat.</w:t>
      </w:r>
    </w:p>
    <w:p>
      <w:pPr>
        <w:spacing w:before="70" w:after="30" w:lineRule="auto" w:line="250"/>
      </w:pPr>
      <w:r>
        <w:rPr>
          <w:rFonts w:ascii="Arial" w:hAnsi="Arial" w:cs="Arial" w:eastAsia="Arial"/>
          <w:b/>
          <w:color w:val="2E4A78"/>
          <w:sz w:val="18"/>
        </w:rPr>
        <w:t>Vetoed at the governor's desk</w:t>
      </w:r>
    </w:p>
    <w:p>
      <w:pPr>
        <w:spacing w:before="0" w:after="64" w:lineRule="auto" w:line="250"/>
        <w:jc w:val="both"/>
      </w:pPr>
      <w:r>
        <w:rPr>
          <w:rFonts w:ascii="Arial" w:hAnsi="Arial" w:cs="Arial" w:eastAsia="Arial"/>
          <w:b w:val="0"/>
          <w:color w:val="444444"/>
          <w:sz w:val="17"/>
        </w:rPr>
        <w:t xml:space="preserve">All fifteen vetoes in this record fall in 2023 and 2025, each attached to a specific kind of bill: capping drug prices at Medicare-negotiated levels, limiting medical-debt collection tactics, banning forced arbitration in health policies (vetoed after a 42–0 Assembly vote), and constraining insurer decision tools — most recently </w:t>
      </w:r>
      <w:r>
        <w:rPr>
          <w:rFonts w:ascii="Arial" w:hAnsi="Arial" w:cs="Arial" w:eastAsia="Arial"/>
          <w:b/>
          <w:color w:val="1A2D4F"/>
          <w:sz w:val="17"/>
        </w:rPr>
        <w:t>SB128 (2025)</w:t>
      </w:r>
      <w:r>
        <w:rPr>
          <w:rFonts w:ascii="Arial" w:hAnsi="Arial" w:cs="Arial" w:eastAsia="Arial"/>
          <w:b w:val="0"/>
          <w:color w:val="444444"/>
          <w:sz w:val="17"/>
        </w:rPr>
        <w:t>, barring insurers from relying solely on artificial intelligence to deny prior-authorization requests, passed 23–16 and 15–6, vetoed. Each design has a proven floor majority; the desk is the one recorded obstacle.</w:t>
      </w:r>
    </w:p>
    <w:p>
      <w:pPr>
        <w:spacing w:before="100" w:after="50" w:lineRule="auto" w:line="254"/>
      </w:pPr>
      <w:r>
        <w:rPr>
          <w:rFonts w:ascii="Arial" w:hAnsi="Arial" w:cs="Arial" w:eastAsia="Arial"/>
          <w:b/>
          <w:color w:val="C0392B"/>
          <w:sz w:val="21"/>
          <w:spacing w:val="20"/>
        </w:rPr>
        <w:t>DEMONSTRATED SUPPORT: BILLS THAT CLEARED ONE CHAMBER OR A COMMITTEE</w:t>
      </w:r>
    </w:p>
    <w:p>
      <w:pPr>
        <w:spacing w:before="0" w:after="50" w:lineRule="auto" w:line="250"/>
      </w:pPr>
      <w:r>
        <w:rPr>
          <w:rFonts w:ascii="Arial" w:hAnsi="Arial" w:cs="Arial" w:eastAsia="Arial"/>
          <w:b w:val="0"/>
          <w:i/>
          <w:color w:val="666666"/>
          <w:sz w:val="15"/>
        </w:rPr>
        <w:t>Each bill here won a recorded majority — in committee or on a floor — before stalling: the strongest signal short of passage.</w:t>
      </w:r>
    </w:p>
    <w:p>
      <w:pPr>
        <w:spacing w:before="0" w:after="64" w:lineRule="auto" w:line="250"/>
        <w:jc w:val="both"/>
      </w:pPr>
      <w:r>
        <w:rPr>
          <w:rFonts w:ascii="Arial" w:hAnsi="Arial" w:cs="Arial" w:eastAsia="Arial"/>
          <w:b/>
          <w:color w:val="1A2D4F"/>
          <w:sz w:val="17"/>
        </w:rPr>
        <w:t>Network accuracy and credentialing — SB90 (2021).</w:t>
      </w:r>
      <w:r>
        <w:rPr>
          <w:rFonts w:ascii="Arial" w:hAnsi="Arial" w:cs="Arial" w:eastAsia="Arial"/>
          <w:b w:val="0"/>
          <w:color w:val="444444"/>
          <w:sz w:val="17"/>
        </w:rPr>
        <w:t xml:space="preserve"> Senator Joseph Hardy's (R) bill passed the Senate 21–0 and died in the Assembly; his SB290 (2019) had died in its first committee. What is law is adjacent: SB234 (2019) standardized network-rejection letters with trend reporting, 21–0 and 39–0, and SB494 (2023) funded centralized Medicaid credentialing. No bill yet sets credentialing deadlines, audits directory accuracy, or defines a "full" panel.</w:t>
      </w:r>
    </w:p>
    <w:p>
      <w:pPr>
        <w:spacing w:before="0" w:after="64" w:lineRule="auto" w:line="250"/>
        <w:jc w:val="both"/>
      </w:pPr>
      <w:r>
        <w:rPr>
          <w:rFonts w:ascii="Arial" w:hAnsi="Arial" w:cs="Arial" w:eastAsia="Arial"/>
          <w:b/>
          <w:color w:val="1A2D4F"/>
          <w:sz w:val="17"/>
        </w:rPr>
        <w:t>Two more 2025 bills won votes and stalled.</w:t>
      </w:r>
      <w:r>
        <w:rPr>
          <w:rFonts w:ascii="Arial" w:hAnsi="Arial" w:cs="Arial" w:eastAsia="Arial"/>
          <w:b w:val="0"/>
          <w:color w:val="444444"/>
          <w:sz w:val="17"/>
        </w:rPr>
        <w:t xml:space="preserve"> SB495, the workforce-needs assessment, passed the Senate 13–8 and died in the Assembly; AB290, the prior-authorization bill participants remembered, cleared its first committee, was re-referred, and died at session's end — while the general reform, AB463, became law the same session (see below).</w:t>
      </w:r>
    </w:p>
    <w:p>
      <w:pPr>
        <w:spacing w:before="100" w:after="50" w:lineRule="auto" w:line="254"/>
      </w:pPr>
      <w:r>
        <w:rPr>
          <w:rFonts w:ascii="Arial" w:hAnsi="Arial" w:cs="Arial" w:eastAsia="Arial"/>
          <w:b/>
          <w:color w:val="C0392B"/>
          <w:sz w:val="21"/>
          <w:spacing w:val="20"/>
        </w:rPr>
        <w:t>ALREADY LAW — AND THE OPENINGS AROUND IT</w:t>
      </w:r>
    </w:p>
    <w:p>
      <w:pPr>
        <w:spacing w:before="0" w:after="50" w:lineRule="auto" w:line="250"/>
      </w:pPr>
      <w:r>
        <w:rPr>
          <w:rFonts w:ascii="Arial" w:hAnsi="Arial" w:cs="Arial" w:eastAsia="Arial"/>
          <w:b w:val="0"/>
          <w:i/>
          <w:color w:val="666666"/>
          <w:sz w:val="15"/>
        </w:rPr>
        <w:t>Fresh statutes mark ground unlikely to be revisited soon — and the lanes where the Legislature keeps building.</w:t>
      </w:r>
    </w:p>
    <w:p>
      <w:pPr>
        <w:spacing w:before="70" w:after="30" w:lineRule="auto" w:line="250"/>
      </w:pPr>
      <w:r>
        <w:rPr>
          <w:rFonts w:ascii="Arial" w:hAnsi="Arial" w:cs="Arial" w:eastAsia="Arial"/>
          <w:b/>
          <w:color w:val="2E4A78"/>
          <w:sz w:val="18"/>
        </w:rPr>
        <w:t>Recently settled ground (2025 session)</w:t>
      </w:r>
    </w:p>
    <w:p>
      <w:pPr>
        <w:spacing w:before="0" w:after="64" w:lineRule="auto" w:line="250"/>
        <w:jc w:val="both"/>
      </w:pPr>
      <w:r>
        <w:rPr>
          <w:rFonts w:ascii="Arial" w:hAnsi="Arial" w:cs="Arial" w:eastAsia="Arial"/>
          <w:b w:val="0"/>
          <w:color w:val="444444"/>
          <w:sz w:val="17"/>
        </w:rPr>
        <w:t>AB463 set prior-authorization rules and deadlines across private insurance, Medicaid, and CHIP, 42–0 and 20–0. SB389 put all Medicaid prescriptions under a single state-contracted PBM, 41–0 and 18–2, carried by a Democrat–Republican team. SB262 revised the residency-grant program; AB269 (40–2, 21–0) and SB266 (42–0, 21–0) expanded provider loan repayment. SB124 eased foreign medical graduates into full licensure, 41–0 and 21–0. AB230 and AB248 enacted the audiology/speech-language and physical therapy compacts; AB334 eased dental-hygienist endorsement, 42–0 and 21–0. SB185 let Medicaid pay family caregivers of disabled children; SB497 (2025) freed autism therapy rates from out-of-state caps. SB494 (2025) reorganized public health-insurance programs under the new Nevada Health Authority, and the special session added the recruitment grant program (SB5). Bills restating any of these would duplicate fresh statute and are unlikely to advance.</w:t>
      </w:r>
    </w:p>
    <w:p>
      <w:pPr>
        <w:spacing w:before="70" w:after="30" w:lineRule="auto" w:line="250"/>
      </w:pPr>
      <w:r>
        <w:rPr>
          <w:rFonts w:ascii="Arial" w:hAnsi="Arial" w:cs="Arial" w:eastAsia="Arial"/>
          <w:b/>
          <w:color w:val="2E4A78"/>
          <w:sz w:val="18"/>
        </w:rPr>
        <w:t>Where the record points further</w:t>
      </w:r>
    </w:p>
    <w:p>
      <w:pPr>
        <w:spacing w:before="0" w:after="64" w:lineRule="auto" w:line="250"/>
        <w:jc w:val="both"/>
      </w:pPr>
      <w:r>
        <w:rPr>
          <w:rFonts w:ascii="Arial" w:hAnsi="Arial" w:cs="Arial" w:eastAsia="Arial"/>
          <w:b w:val="0"/>
          <w:color w:val="444444"/>
          <w:sz w:val="17"/>
        </w:rPr>
        <w:t>The workforce ladder keeps extending: Health Service Corps funding (SB289, 2019; SB233, 2021), the broader loan-repayment program (AB45, 2023, 41–0 and 21–0), the two 2025 expansions, and residency grants created in 2023 (SB350, 21–0 and 40–0) and revised unanimously in 2025 — alongside dental therapy's licensure in 2019 and the 2021 workforce-data laws. Targeted Medicaid rate raises pass the same way: autism technicians (SB96, 2021), the provider-assessment financing mechanism (SB435, 2023), children's cancer clinics (SB221, 2023), family caregivers (SB185) and training clinics (SB353, 2025). The PBM file is one concurrence vote from a comprehensive regime, built on enacted rungs — the pharmacist gag-clause ban (AB141, 2019), Medicaid rebate pass-through (SB378, 2019), 340B protections (AB434, 2023), SB389 — and step-therapy limits passed unanimously in 2023 (SB167, SB194). Where the record resists: every across-the-board reimbursement reform has died at the money stage without a floor vote against it — AB116 (2019), AB99 (2023), SB255 (2023) and SB239 (2025), both from Senator Carrie Buck (R), still serving, and 2025's substance-use and mental-health rate bills.</w:t>
      </w:r>
    </w:p>
    <w:p>
      <w:pPr>
        <w:spacing w:before="100" w:after="50" w:lineRule="auto" w:line="254"/>
      </w:pPr>
      <w:r>
        <w:rPr>
          <w:rFonts w:ascii="Arial" w:hAnsi="Arial" w:cs="Arial" w:eastAsia="Arial"/>
          <w:b/>
          <w:color w:val="C0392B"/>
          <w:sz w:val="21"/>
          <w:spacing w:val="20"/>
        </w:rPr>
        <w:t>ROUTES WITH LITTLE TRACTION YET: NEVER FILED, NEVER HEARD, OR STOPPED EARLY</w:t>
      </w:r>
    </w:p>
    <w:p>
      <w:pPr>
        <w:spacing w:before="0" w:after="50" w:lineRule="auto" w:line="250"/>
      </w:pPr>
      <w:r>
        <w:rPr>
          <w:rFonts w:ascii="Arial" w:hAnsi="Arial" w:cs="Arial" w:eastAsia="Arial"/>
          <w:b w:val="0"/>
          <w:i/>
          <w:color w:val="666666"/>
          <w:sz w:val="15"/>
        </w:rPr>
        <w:t>Nothing here has won a vote — never filed, never heard in committee, or stopped early. The least-traveled routes: unproven rather than closed.</w:t>
      </w:r>
    </w:p>
    <w:p>
      <w:pPr>
        <w:spacing w:before="0" w:after="64" w:lineRule="auto" w:line="250"/>
        <w:jc w:val="both"/>
      </w:pPr>
      <w:r>
        <w:rPr>
          <w:rFonts w:ascii="Arial" w:hAnsi="Arial" w:cs="Arial" w:eastAsia="Arial"/>
          <w:b/>
          <w:color w:val="1A2D4F"/>
          <w:sz w:val="17"/>
        </w:rPr>
        <w:t>The Nurse Licensure Compact.</w:t>
      </w:r>
      <w:r>
        <w:rPr>
          <w:rFonts w:ascii="Arial" w:hAnsi="Arial" w:cs="Arial" w:eastAsia="Arial"/>
          <w:b w:val="0"/>
          <w:color w:val="444444"/>
          <w:sz w:val="17"/>
        </w:rPr>
        <w:t xml:space="preserve"> Filed three times, never a floor vote: AB142 (2021) and AB108 (2023) died in Assembly Commerce and Labor, and the 2025 five-compact omnibus SB34 died in Senate Commerce and Labor while two of its compacts passed as separate bills. The contrast is the opening: the physical-therapy compact (SB186 of 2019, re-enacted in 2025), the EMS compact (AB158, 2023), and the 2025 audiology and dental-hygiene bills all passed with unanimous or near-unanimous votes. Nursing is the one compact not yet moved; the obstacle has been the committee, not the floor.</w:t>
      </w:r>
    </w:p>
    <w:p>
      <w:pPr>
        <w:spacing w:before="0" w:after="64" w:lineRule="auto" w:line="250"/>
        <w:jc w:val="both"/>
      </w:pPr>
      <w:r>
        <w:rPr>
          <w:rFonts w:ascii="Arial" w:hAnsi="Arial" w:cs="Arial" w:eastAsia="Arial"/>
          <w:b/>
          <w:color w:val="1A2D4F"/>
          <w:sz w:val="17"/>
        </w:rPr>
        <w:t>Splitting ER from urgent-care billing.</w:t>
      </w:r>
      <w:r>
        <w:rPr>
          <w:rFonts w:ascii="Arial" w:hAnsi="Arial" w:cs="Arial" w:eastAsia="Arial"/>
          <w:b w:val="0"/>
          <w:color w:val="444444"/>
          <w:sz w:val="17"/>
        </w:rPr>
        <w:t xml:space="preserve"> The full design — separate billing, rotating physicians, a state-paid physician per county — has never been filed. Edges exist in law: AB469 (2019) limits out-of-network emergency billing, SB497 (2023) built the arbitration system, AB317 (2019) gave off-campus ER and urgent-care sites distinct identifiers, and AB277 (2023) let small 24/7 rural emergency hospitals operate, 41–0 and 21–0. The bills that tried to control ER charges died early (AB85, 2023, on the origin floor; AB349, 2025, in committee). Telehealth is settled law (SB5 of 2021, SB119 of 2023).</w:t>
      </w:r>
    </w:p>
    <w:p>
      <w:pPr>
        <w:spacing w:before="0" w:after="64" w:lineRule="auto" w:line="250"/>
        <w:jc w:val="both"/>
      </w:pPr>
      <w:r>
        <w:rPr>
          <w:rFonts w:ascii="Arial" w:hAnsi="Arial" w:cs="Arial" w:eastAsia="Arial"/>
          <w:b/>
          <w:color w:val="1A2D4F"/>
          <w:sz w:val="17"/>
        </w:rPr>
        <w:t>Residency tax credits and the biggest money bills.</w:t>
      </w:r>
      <w:r>
        <w:rPr>
          <w:rFonts w:ascii="Arial" w:hAnsi="Arial" w:cs="Arial" w:eastAsia="Arial"/>
          <w:b w:val="0"/>
          <w:color w:val="444444"/>
          <w:sz w:val="17"/>
        </w:rPr>
        <w:t xml:space="preserve"> The tax-credit design for businesses that donate to residency programs died on the Senate floor twice (SB369, 2023; SB269, 2025, both from Senator Robin Titus (R), still serving), and the 2019 direct appropriation died in committee; the direct-grant design passed instead. Credentialing deadlines and any-group insurance pooling have never been filed — SB481 (2019) and SB396 (2021) legislated around the pooling idea, and the Public Option (SB420, 2021), the record's rare party-divided enactment at 12–9 and 26–15, is the biggest structure in that space. The 31st (2020) Special Session's AB3, cutting health appropriations 36–6 and 21–0, marks the record's fiscal floor.</w:t>
      </w:r>
    </w:p>
    <w:p>
      <w:pPr>
        <w:spacing w:before="100" w:after="50" w:lineRule="auto" w:line="254"/>
      </w:pPr>
      <w:r>
        <w:rPr>
          <w:rFonts w:ascii="Arial" w:hAnsi="Arial" w:cs="Arial" w:eastAsia="Arial"/>
          <w:b/>
          <w:color w:val="C0392B"/>
          <w:sz w:val="21"/>
          <w:spacing w:val="20"/>
        </w:rPr>
        <w:t>MOMENTUM MAP: ACTIVE FRONTS AND QUIET FRONTS</w:t>
      </w:r>
    </w:p>
    <w:p>
      <w:pPr>
        <w:spacing w:before="0" w:after="50" w:lineRule="auto" w:line="250"/>
      </w:pPr>
      <w:r>
        <w:rPr>
          <w:rFonts w:ascii="Arial" w:hAnsi="Arial" w:cs="Arial" w:eastAsia="Arial"/>
          <w:b w:val="0"/>
          <w:i/>
          <w:color w:val="666666"/>
          <w:sz w:val="15"/>
        </w:rPr>
        <w:t>Where bills keep appearing and advancing — and where the Legislature has not yet shown willingness to legislate.</w:t>
      </w:r>
    </w:p>
    <w:p>
      <w:pPr>
        <w:spacing w:before="0" w:after="64" w:lineRule="auto" w:line="250"/>
        <w:jc w:val="both"/>
      </w:pPr>
      <w:r>
        <w:rPr>
          <w:rFonts w:ascii="Arial" w:hAnsi="Arial" w:cs="Arial" w:eastAsia="Arial"/>
          <w:b/>
          <w:color w:val="1A2D4F"/>
          <w:sz w:val="17"/>
        </w:rPr>
        <w:t>Active:</w:t>
      </w:r>
      <w:r>
        <w:rPr>
          <w:rFonts w:ascii="Arial" w:hAnsi="Arial" w:cs="Arial" w:eastAsia="Arial"/>
          <w:b w:val="0"/>
          <w:color w:val="444444"/>
          <w:sz w:val="17"/>
        </w:rPr>
        <w:t xml:space="preserve"> provider supply and retention (loan repayment, residencies, grants — enacted and expanded in every recent session); licensure compacts, four of five enacted; PBM regulation (never lost a floor vote, stronger each session); prior authorization (general law now in place); targeted Medicaid rate raises. </w:t>
      </w:r>
      <w:r>
        <w:rPr>
          <w:rFonts w:ascii="Arial" w:hAnsi="Arial" w:cs="Arial" w:eastAsia="Arial"/>
          <w:b/>
          <w:color w:val="1A2D4F"/>
          <w:sz w:val="17"/>
        </w:rPr>
        <w:t>Quiet:</w:t>
      </w:r>
      <w:r>
        <w:rPr>
          <w:rFonts w:ascii="Arial" w:hAnsi="Arial" w:cs="Arial" w:eastAsia="Arial"/>
          <w:b w:val="0"/>
          <w:color w:val="444444"/>
          <w:sz w:val="17"/>
        </w:rPr>
        <w:t xml:space="preserve"> across-the-board reimbursement reform (dies at the money stage), ER charge control, network-accuracy standards (silent since 2021), any-group pooling (never filed), and the nurse compact (three committee deaths against a current of unanimous compact passages).</w:t>
      </w:r>
    </w:p>
    <w:p>
      <w:pPr>
        <w:spacing w:before="100" w:after="50" w:lineRule="auto" w:line="254"/>
      </w:pPr>
      <w:r>
        <w:rPr>
          <w:rFonts w:ascii="Arial" w:hAnsi="Arial" w:cs="Arial" w:eastAsia="Arial"/>
          <w:b/>
          <w:color w:val="C0392B"/>
          <w:sz w:val="21"/>
          <w:spacing w:val="20"/>
        </w:rPr>
        <w:t>FEDERAL OVERLAP: WHAT IS ALREADY ADDRESSED OUTSIDE CARSON CITY</w:t>
      </w:r>
    </w:p>
    <w:p>
      <w:pPr>
        <w:spacing w:before="0" w:after="50" w:lineRule="auto" w:line="250"/>
      </w:pPr>
      <w:r>
        <w:rPr>
          <w:rFonts w:ascii="Arial" w:hAnsi="Arial" w:cs="Arial" w:eastAsia="Arial"/>
          <w:b w:val="0"/>
          <w:i/>
          <w:color w:val="666666"/>
          <w:sz w:val="15"/>
        </w:rPr>
        <w:t>Where federal action already covers ground, a state bill duplicates it; where none exists, the state route is the only one.</w:t>
      </w:r>
    </w:p>
    <w:p>
      <w:pPr>
        <w:spacing w:before="0" w:after="64" w:lineRule="auto" w:line="250"/>
        <w:jc w:val="both"/>
      </w:pPr>
      <w:r>
        <w:rPr>
          <w:rFonts w:ascii="Arial" w:hAnsi="Arial" w:cs="Arial" w:eastAsia="Arial"/>
          <w:b w:val="0"/>
          <w:color w:val="444444"/>
          <w:sz w:val="17"/>
        </w:rPr>
        <w:t>Surprise emergency billing is covered nationwide by the federal No Surprises Act (in force since 2022); Nevada's AB469 and SB497 arbitration system operates alongside it, and new state bills there would largely duplicate federal protection. Drug-price caps pegged to Medicare-negotiated prices depend on the federal negotiation program created in 2022, whose first prices take effect in 2026 — the vetoed Nevada caps were built on that machinery. Federal rules finalized in 2024 impose prior-authorization deadlines on Medicare Advantage, Medicaid, and exchange plans through 2027; AB463 covers the state-regulated plans those rules do not reach. Medicare and Tricare rates are set federally and appear in no Nevada bill; self-funded employer plans sit behind federal ERISA preemption, beyond state reach. Congress has advanced but not enacted national PBM transparency rules, so that field remains open to the state.</w:t>
      </w:r>
    </w:p>
    <w:p>
      <w:pPr>
        <w:spacing w:before="100" w:after="50" w:lineRule="auto" w:line="254"/>
      </w:pPr>
      <w:r>
        <w:rPr>
          <w:rFonts w:ascii="Arial" w:hAnsi="Arial" w:cs="Arial" w:eastAsia="Arial"/>
          <w:b/>
          <w:color w:val="C0392B"/>
          <w:sz w:val="21"/>
          <w:spacing w:val="20"/>
        </w:rPr>
        <w:t>SPONSORS, COMMITTEES, AND WHO STILL SERVES</w:t>
      </w:r>
    </w:p>
    <w:p>
      <w:pPr>
        <w:spacing w:before="0" w:after="50" w:lineRule="auto" w:line="250"/>
      </w:pPr>
      <w:r>
        <w:rPr>
          <w:rFonts w:ascii="Arial" w:hAnsi="Arial" w:cs="Arial" w:eastAsia="Arial"/>
          <w:b w:val="0"/>
          <w:i/>
          <w:color w:val="666666"/>
          <w:sz w:val="15"/>
        </w:rPr>
        <w:t>Who has carried these bills, where bills stop, and which authors remain in the Legislature.</w:t>
      </w:r>
    </w:p>
    <w:p>
      <w:pPr>
        <w:spacing w:before="0" w:after="64" w:lineRule="auto" w:line="250"/>
        <w:jc w:val="both"/>
      </w:pPr>
      <w:r>
        <w:rPr>
          <w:rFonts w:ascii="Arial" w:hAnsi="Arial" w:cs="Arial" w:eastAsia="Arial"/>
          <w:b w:val="0"/>
          <w:color w:val="444444"/>
          <w:sz w:val="17"/>
        </w:rPr>
        <w:t>Most healthcare-cost bills come from named lawmakers — 270 of 409. The two most frequent sponsors have left the Legislature: Senator Pat Spearman (D, 21 bills, coverage and drug purchasing) last served in 2023, Senator Joseph Hardy (R, 19, the Health Service Corps line) in 2021. The other heavy carriers still serve: Senator Melanie Scheible (D, 18 — the PBM bills, including the enacted SB389), Senators Cannizzaro (D), Lange (D), Stone (R), and Doñate (D) at 16 each, and Senators Carrie Buck (R), Julie Pazina (D), and Robin Titus (R) on the rate, residency, and tax-credit files. Cross-party teams appear on 54 policy bills, 36 now law, clustering where citizens' proposals sit — PBM, compact, and rate bills. First-committee stops concentrate in Senate Health and Human Services (22), Assembly Commerce and Labor (21), Senate Commerce and Labor (19), and Assembly Health and Human Services (16).</w:t>
      </w:r>
    </w:p>
    <w:p>
      <w:pPr>
        <w:spacing w:before="160" w:after="0" w:lineRule="auto" w:line="254"/>
        <w:pBdr>
          <w:top w:val="single" w:sz="6" w:space="4" w:color="C8CDD6"/>
        </w:pBdr>
      </w:pPr>
      <w:r>
        <w:rPr>
          <w:rFonts w:ascii="Arial" w:hAnsi="Arial" w:cs="Arial" w:eastAsia="Arial"/>
          <w:b w:val="0"/>
          <w:color w:val="666666"/>
          <w:sz w:val="14"/>
          <w:spacing w:val="12"/>
        </w:rPr>
        <w:t>FULL BILL-BY-BILL DETAIL, VOTES, SPONSORS, AND SOURCES: APPENDICES A–I.</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