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0abb38ecb5f6c7151ab95ba0f54930bb46e602f"/>
    <w:p>
      <w:pPr>
        <w:pStyle w:val="Heading1"/>
      </w:pPr>
      <w:r>
        <w:t xml:space="preserve">Growth, Water Scarcity, and Long-Term Supply in Nevada</w:t>
      </w:r>
    </w:p>
    <w:p>
      <w:pPr>
        <w:pStyle w:val="FirstParagraph"/>
      </w:pPr>
      <w:r>
        <w:t xml:space="preserve">The legislative record behind Nevadans’ ten most common water proposals, 2019–2025.</w:t>
      </w:r>
    </w:p>
    <w:bookmarkStart w:id="20" w:name="the-legislative-landscape"/>
    <w:p>
      <w:pPr>
        <w:pStyle w:val="Heading2"/>
      </w:pPr>
      <w:r>
        <w:t xml:space="preserve">The legislative landscape</w:t>
      </w:r>
    </w:p>
    <w:p>
      <w:pPr>
        <w:pStyle w:val="FirstParagraph"/>
      </w:pPr>
      <w:r>
        <w:t xml:space="preserve">Nevada’s Legislature took up 108 water and large-user bills across its 2019, 2021, 2023, and 2025 sessions; 59 became law. Appropriations, technical permitting fixes, and utility regulation passed routinely. Structural reform did not: the most common point of death was the first committee (27 bills, 15 of them in a Natural Resources committee), and since 2023 the governor’s veto has become a second wall — three water-related bills passed both houses in 2023 and were vetoed. The 2025 session produced the worst pass rate in the record, 13 of 31 bills.</w:t>
      </w:r>
    </w:p>
    <w:bookmarkEnd w:id="20"/>
    <w:bookmarkStart w:id="21" w:name="key-numbers"/>
    <w:p>
      <w:pPr>
        <w:pStyle w:val="Heading2"/>
      </w:pPr>
      <w:r>
        <w:t xml:space="preserve">Key numbers</w:t>
      </w:r>
    </w:p>
    <w:p>
      <w:pPr>
        <w:numPr>
          <w:ilvl w:val="0"/>
          <w:numId w:val="1001"/>
        </w:numPr>
        <w:pStyle w:val="Compact"/>
      </w:pPr>
      <w:r>
        <w:rPr>
          <w:bCs/>
          <w:b/>
        </w:rPr>
        <w:t xml:space="preserve">108</w:t>
      </w:r>
      <w:r>
        <w:t xml:space="preserve"> </w:t>
      </w:r>
      <w:r>
        <w:t xml:space="preserve">water and large-user bills, 2019–2025</w:t>
      </w:r>
    </w:p>
    <w:p>
      <w:pPr>
        <w:numPr>
          <w:ilvl w:val="0"/>
          <w:numId w:val="1001"/>
        </w:numPr>
        <w:pStyle w:val="Compact"/>
      </w:pPr>
      <w:r>
        <w:rPr>
          <w:bCs/>
          <w:b/>
        </w:rPr>
        <w:t xml:space="preserve">59</w:t>
      </w:r>
      <w:r>
        <w:t xml:space="preserve"> </w:t>
      </w:r>
      <w:r>
        <w:t xml:space="preserve">became law</w:t>
      </w:r>
    </w:p>
    <w:p>
      <w:pPr>
        <w:numPr>
          <w:ilvl w:val="0"/>
          <w:numId w:val="1001"/>
        </w:numPr>
        <w:pStyle w:val="Compact"/>
      </w:pPr>
      <w:r>
        <w:rPr>
          <w:bCs/>
          <w:b/>
        </w:rPr>
        <w:t xml:space="preserve">5 of 10</w:t>
      </w:r>
      <w:r>
        <w:t xml:space="preserve"> </w:t>
      </w:r>
      <w:r>
        <w:t xml:space="preserve">of Nevadans’ most common proposals have never been introduced as a bill</w:t>
      </w:r>
    </w:p>
    <w:p>
      <w:pPr>
        <w:numPr>
          <w:ilvl w:val="0"/>
          <w:numId w:val="1001"/>
        </w:numPr>
        <w:pStyle w:val="Compact"/>
      </w:pPr>
      <w:r>
        <w:rPr>
          <w:bCs/>
          <w:b/>
        </w:rPr>
        <w:t xml:space="preserve">27</w:t>
      </w:r>
      <w:r>
        <w:t xml:space="preserve"> </w:t>
      </w:r>
      <w:r>
        <w:t xml:space="preserve">bills died in their first committee</w:t>
      </w:r>
    </w:p>
    <w:p>
      <w:pPr>
        <w:numPr>
          <w:ilvl w:val="0"/>
          <w:numId w:val="1001"/>
        </w:numPr>
        <w:pStyle w:val="Compact"/>
      </w:pPr>
      <w:r>
        <w:rPr>
          <w:bCs/>
          <w:b/>
        </w:rPr>
        <w:t xml:space="preserve">3</w:t>
      </w:r>
      <w:r>
        <w:t xml:space="preserve"> </w:t>
      </w:r>
      <w:r>
        <w:t xml:space="preserve">vetoes, all in 2023</w:t>
      </w:r>
    </w:p>
    <w:bookmarkEnd w:id="21"/>
    <w:bookmarkStart w:id="22" w:name="proposals-with-no-bill-on-record"/>
    <w:p>
      <w:pPr>
        <w:pStyle w:val="Heading2"/>
      </w:pPr>
      <w:r>
        <w:t xml:space="preserve">Proposals with no bill on record</w:t>
      </w:r>
    </w:p>
    <w:p>
      <w:pPr>
        <w:pStyle w:val="FirstParagraph"/>
      </w:pPr>
      <w:r>
        <w:rPr>
          <w:bCs/>
          <w:b/>
        </w:rPr>
        <w:t xml:space="preserve">Statewide guardrails on data centers.</w:t>
      </w:r>
      <w:r>
        <w:t xml:space="preserve"> </w:t>
      </w:r>
      <w:r>
        <w:t xml:space="preserve">No bill has ever proposed state water or cooling standards for data centers. The existing statutes run the other way: SB547 (2019) let data centers run their own power equipment free of utility regulation, and the abatement statutes recruit them. Cooling rules are currently local — the Southern Nevada Water Authority’s evaporative-cooling moratorium is a water-authority rule, not state law — which produces the county-by-county variation participants described. AB385 (2025) would have barred local governments from banning large water-cooled towers; it died in its first committee. Interim committees studied data-center water and energy through 2026 for the 2027 session.</w:t>
      </w:r>
    </w:p>
    <w:p>
      <w:pPr>
        <w:pStyle w:val="BodyText"/>
      </w:pPr>
      <w:r>
        <w:rPr>
          <w:bCs/>
          <w:b/>
        </w:rPr>
        <w:t xml:space="preserve">Statewide metering.</w:t>
      </w:r>
      <w:r>
        <w:t xml:space="preserve"> </w:t>
      </w:r>
      <w:r>
        <w:t xml:space="preserve">No statewide metering requirement has been introduced. The edges exist in law: domestic wells in stressed basins must be metered to keep pumping (AB95 of 2019, extended by SB113 of 2023), and suppliers must audit and report their water losses (AB191 of 2023). Retail metering of homes and businesses remains a city and utility decision, which is where the flat-rate billing participants criticized lives.</w:t>
      </w:r>
    </w:p>
    <w:p>
      <w:pPr>
        <w:pStyle w:val="BodyText"/>
      </w:pPr>
      <w:r>
        <w:rPr>
          <w:bCs/>
          <w:b/>
        </w:rPr>
        <w:t xml:space="preserve">Escalating fines for water waste.</w:t>
      </w:r>
      <w:r>
        <w:t xml:space="preserve"> </w:t>
      </w:r>
      <w:r>
        <w:t xml:space="preserve">Never introduced. The closest statute, AB537 (2019), raised civil penalties for pollution and public-water-system violations — not landscape watering. Waste fines and watering-day enforcement sit with utilities and cities, and no bill has funded that enforcement.</w:t>
      </w:r>
    </w:p>
    <w:p>
      <w:pPr>
        <w:pStyle w:val="BodyText"/>
      </w:pPr>
      <w:r>
        <w:rPr>
          <w:bCs/>
          <w:b/>
        </w:rPr>
        <w:t xml:space="preserve">Reimbursement-style incentives.</w:t>
      </w:r>
      <w:r>
        <w:t xml:space="preserve"> </w:t>
      </w:r>
      <w:r>
        <w:t xml:space="preserve">The specific design participants developed — public-benefit metrics with the tax break paid only at the end, once metrics are met — has never been introduced in any form.</w:t>
      </w:r>
    </w:p>
    <w:p>
      <w:pPr>
        <w:pStyle w:val="BodyText"/>
      </w:pPr>
      <w:r>
        <w:rPr>
          <w:bCs/>
          <w:b/>
        </w:rPr>
        <w:t xml:space="preserve">“</w:t>
      </w:r>
      <w:r>
        <w:rPr>
          <w:bCs/>
          <w:b/>
        </w:rPr>
        <w:t xml:space="preserve">Bring your own water.</w:t>
      </w:r>
      <w:r>
        <w:rPr>
          <w:bCs/>
          <w:b/>
        </w:rPr>
        <w:t xml:space="preserve">”</w:t>
      </w:r>
      <w:r>
        <w:t xml:space="preserve"> </w:t>
      </w:r>
      <w:r>
        <w:t xml:space="preserve">No statewide dedication requirement for developers or large users has been introduced. Northern Nevada already operates this way — Truckee Meadows developers must acquire water rights and dedicate them plus an 11 percent drought reserve — but by water-authority rule, not statute. Southern Nevada operates differently under Lake Mead arrangements. The nearest statute is SB250 (2019), which passed 39–0 and governs water-right dedication before land divisions.</w:t>
      </w:r>
    </w:p>
    <w:bookmarkEnd w:id="22"/>
    <w:bookmarkStart w:id="23" w:name="X19514f6f9012f00961749766dce327b7e4f84e7"/>
    <w:p>
      <w:pPr>
        <w:pStyle w:val="Heading2"/>
      </w:pPr>
      <w:r>
        <w:t xml:space="preserve">Proposals that reached the Legislature and stalled</w:t>
      </w:r>
    </w:p>
    <w:p>
      <w:pPr>
        <w:pStyle w:val="FirstParagraph"/>
      </w:pPr>
      <w:r>
        <w:rPr>
          <w:bCs/>
          <w:b/>
        </w:rPr>
        <w:t xml:space="preserve">A statewide expert water body.</w:t>
      </w:r>
      <w:r>
        <w:t xml:space="preserve"> </w:t>
      </w:r>
      <w:r>
        <w:t xml:space="preserve">Introduced twice, finished zero times. SB499 (2019), creating a state water planning advisory board, died in its first committee. SB143 (2025), directing an interim review of water conservation policy, passed the Senate 21–0 and died in the Assembly. No Economic Forum-style water body exists in statute.</w:t>
      </w:r>
    </w:p>
    <w:p>
      <w:pPr>
        <w:pStyle w:val="BodyText"/>
      </w:pPr>
      <w:r>
        <w:rPr>
          <w:bCs/>
          <w:b/>
        </w:rPr>
        <w:t xml:space="preserve">Audit the water, fix over-allocation, digitize the records.</w:t>
      </w:r>
      <w:r>
        <w:t xml:space="preserve"> </w:t>
      </w:r>
      <w:r>
        <w:t xml:space="preserve">Participants’ sense that these bills</w:t>
      </w:r>
      <w:r>
        <w:t xml:space="preserve"> </w:t>
      </w:r>
      <w:r>
        <w:t xml:space="preserve">“</w:t>
      </w:r>
      <w:r>
        <w:t xml:space="preserve">keep getting shut down in committee</w:t>
      </w:r>
      <w:r>
        <w:t xml:space="preserve">”</w:t>
      </w:r>
      <w:r>
        <w:t xml:space="preserve"> </w:t>
      </w:r>
      <w:r>
        <w:t xml:space="preserve">matches the record. AB485 (2025) — funding basin water budgets, monitoring, digitization of the Division of Water Resources’ records, and staff to adjudicate old claims — died in its first committee. Pieces passed separately: groundwater basin studies (AB95, 2019), critical management area designations (SB113, 2023), money for the Division’s new website and database (AB577, 2025), and a buy-and-retire account for over-allocated basins (SB36, 2025), which itself failed in 2021 and 2023 before passing.</w:t>
      </w:r>
    </w:p>
    <w:p>
      <w:pPr>
        <w:pStyle w:val="BodyText"/>
      </w:pPr>
      <w:r>
        <w:rPr>
          <w:bCs/>
          <w:b/>
        </w:rPr>
        <w:t xml:space="preserve">Conditions on tax abatements.</w:t>
      </w:r>
      <w:r>
        <w:t xml:space="preserve"> </w:t>
      </w:r>
      <w:r>
        <w:t xml:space="preserve">Every attempt to condition, cap, or deny the existing up-front abatements has failed: AB77 (2025, grounds to deny abatements with data centers named) died in Assembly Revenue; SB394 (2023, a $500,000 abatement cap) passed the Senate 14–7 and died in Assembly Revenue at the deadline; SB429 (2023, family-leave conditions) passed both houses and was vetoed; AB449 (2021) died in its first committee; SB364 (2025) stalled on the floor. Assembly Revenue is the consistent stopping point, and the 2023 veto shows the governor’s desk is part of this path.</w:t>
      </w:r>
    </w:p>
    <w:p>
      <w:pPr>
        <w:pStyle w:val="BodyText"/>
      </w:pPr>
      <w:r>
        <w:rPr>
          <w:bCs/>
          <w:b/>
        </w:rPr>
        <w:t xml:space="preserve">Statewide standards and fairness across regions.</w:t>
      </w:r>
      <w:r>
        <w:t xml:space="preserve"> </w:t>
      </w:r>
      <w:r>
        <w:t xml:space="preserve">AB51 (2019), directing the State Engineer to manage all water sources conjunctively, died in its first committee. AB387 (2023), requiring the State Engineer to use the best available science, passed the Assembly 26–14 and died in the Senate. Oversight of the State Engineer more broadly is 0-for-6 since 2021. The laws that did pass are regional by design — the grass ban covers only the Colorado River service area, and dedication practice differs north to south.</w:t>
      </w:r>
    </w:p>
    <w:bookmarkEnd w:id="23"/>
    <w:bookmarkStart w:id="24" w:name="where-precedent-exists"/>
    <w:p>
      <w:pPr>
        <w:pStyle w:val="Heading2"/>
      </w:pPr>
      <w:r>
        <w:t xml:space="preserve">Where precedent exists</w:t>
      </w:r>
    </w:p>
    <w:p>
      <w:pPr>
        <w:pStyle w:val="FirstParagraph"/>
      </w:pPr>
      <w:r>
        <w:rPr>
          <w:bCs/>
          <w:b/>
        </w:rPr>
        <w:t xml:space="preserve">Growth and landscape restrictions.</w:t>
      </w:r>
      <w:r>
        <w:t xml:space="preserve"> </w:t>
      </w:r>
      <w:r>
        <w:t xml:space="preserve">AB356 (2021) banned decorative Colorado River grass in southern Nevada, passing 21–0 and 42–0 — the record’s clearest proof that a hard restriction can pass when regionally scoped. SB250 (2019) tied land divisions to water-right dedication. The follow-ons stalled: SB169 (2023), adding conservation elements to local master plans, was vetoed; the 2025 turf study died with SB143. Moratoriums, including the evaporative-cooling moratorium, remain local rules.</w:t>
      </w:r>
    </w:p>
    <w:p>
      <w:pPr>
        <w:pStyle w:val="BodyText"/>
      </w:pPr>
      <w:r>
        <w:rPr>
          <w:bCs/>
          <w:b/>
        </w:rPr>
        <w:t xml:space="preserve">Groundwater reform.</w:t>
      </w:r>
      <w:r>
        <w:t xml:space="preserve"> </w:t>
      </w:r>
      <w:r>
        <w:t xml:space="preserve">SB113 (2023) strengthened critical management areas, and SB36 (2025) created the buy-and-retire program. But the governance piece is unfinished business: SB180 (2023), restructuring groundwater boards, passed both houses with zero</w:t>
      </w:r>
      <w:r>
        <w:t xml:space="preserve"> </w:t>
      </w:r>
      <w:r>
        <w:t xml:space="preserve">“</w:t>
      </w:r>
      <w:r>
        <w:t xml:space="preserve">no</w:t>
      </w:r>
      <w:r>
        <w:t xml:space="preserve">”</w:t>
      </w:r>
      <w:r>
        <w:t xml:space="preserve"> </w:t>
      </w:r>
      <w:r>
        <w:t xml:space="preserve">votes and still died at session’s end; the 2025 retry (AB363) died on the Assembly floor calendar.</w:t>
      </w:r>
    </w:p>
    <w:bookmarkEnd w:id="24"/>
    <w:bookmarkStart w:id="25" w:name="the-political-terrain"/>
    <w:p>
      <w:pPr>
        <w:pStyle w:val="Heading2"/>
      </w:pPr>
      <w:r>
        <w:t xml:space="preserve">The political terrain</w:t>
      </w:r>
    </w:p>
    <w:p>
      <w:pPr>
        <w:pStyle w:val="FirstParagraph"/>
      </w:pPr>
      <w:r>
        <w:t xml:space="preserve">A slight majority of the 108 bills (58) were committee-sponsored. Senator Pete Goicoechea (R) is the most frequent individual sponsor — 14 bills across all four sessions, concentrated in groundwater, districts, and rights retirement; Assemblymember Howard Watts (D), Senator Chris Brooks (D), and Assemblymember Sarah Peters (D) each carried five. Cross-party sponsor teams were rare — five bills — but four of the five became law. Incentive and abatement bills route through Assembly Revenue and Senate Revenue; water policy routes through the Natural Resources committees, where most early deaths occurred.</w:t>
      </w:r>
    </w:p>
    <w:bookmarkEnd w:id="25"/>
    <w:bookmarkStart w:id="26" w:name="new-law-from-the-2025-session"/>
    <w:p>
      <w:pPr>
        <w:pStyle w:val="Heading2"/>
      </w:pPr>
      <w:r>
        <w:t xml:space="preserve">New law from the 2025 session</w:t>
      </w:r>
    </w:p>
    <w:p>
      <w:pPr>
        <w:pStyle w:val="FirstParagraph"/>
      </w:pPr>
      <w:r>
        <w:t xml:space="preserve">SB36 created the state account to purchase and retire water rights in over-appropriated basins. SB6 funded cloud seeding a second time, unanimously. SB442 added utility shut-off protections; SB276 added public-notice requirements for water pollution permits with cross-party sponsorship; AB449 and SB326 simplified rate procedures for small water utilities; AB577 funded the water agency’s records database.</w:t>
      </w:r>
    </w:p>
    <w:p>
      <w:pPr>
        <w:pStyle w:val="BodyText"/>
      </w:pPr>
      <w:r>
        <w:t xml:space="preserve">Full bill-by-bill detail, votes, sponsors, and sources: Appendices A–I.</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2026-07-20T16:18:27Z</dcterms:created>
  <dcterms:modified xsi:type="dcterms:W3CDTF">2026-07-20T16:18:27Z</dcterms:modified>
</cp:coreProperties>
</file>

<file path=docProps/custom.xml><?xml version="1.0" encoding="utf-8"?>
<Properties xmlns="http://schemas.openxmlformats.org/officeDocument/2006/custom-properties" xmlns:vt="http://schemas.openxmlformats.org/officeDocument/2006/docPropsVTypes"/>
</file>