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widowControl/>
        <w:spacing w:before="0" w:after="20" w:lineRule="auto" w:line="254"/>
      </w:pPr>
      <w:r>
        <w:rPr>
          <w:rFonts w:ascii="Arial" w:hAnsi="Arial" w:cs="Arial" w:eastAsia="Arial"/>
          <w:b/>
          <w:color w:val="1A2D4F"/>
          <w:sz w:val="20"/>
          <w:spacing w:val="20"/>
        </w:rPr>
        <w:t>T H E   F O R U M</w:t>
      </w:r>
    </w:p>
    <w:p>
      <w:pPr>
        <w:widowControl/>
        <w:spacing w:before="0" w:after="120" w:lineRule="auto" w:line="254"/>
        <w:pBdr>
          <w:bottom w:val="single" w:sz="20" w:space="2" w:color="1A2D4F"/>
        </w:pBdr>
      </w:pPr>
    </w:p>
    <w:p>
      <w:pPr>
        <w:widowControl/>
        <w:spacing w:before="0" w:after="40" w:lineRule="auto" w:line="252"/>
      </w:pPr>
      <w:r>
        <w:rPr>
          <w:rFonts w:ascii="Arial" w:hAnsi="Arial" w:cs="Arial" w:eastAsia="Arial"/>
          <w:b/>
          <w:color w:val="1A2D4F"/>
          <w:sz w:val="36"/>
        </w:rPr>
        <w:t>Glossary — K-12 Outcomes Brief</w:t>
      </w:r>
    </w:p>
    <w:p>
      <w:pPr>
        <w:widowControl/>
        <w:spacing w:before="0" w:after="120" w:lineRule="auto" w:line="254"/>
      </w:pPr>
      <w:r>
        <w:rPr>
          <w:rFonts w:ascii="Arial" w:hAnsi="Arial" w:cs="Arial" w:eastAsia="Arial"/>
          <w:b w:val="0"/>
          <w:color w:val="444444"/>
          <w:sz w:val="20"/>
        </w:rPr>
        <w:t>Plain-language definitions for the terms and acronyms in "K-12 Educational Outcomes in Nevada" (citizen brief v3.0). Lawmaking-process terms are in the shared companion, "How Nevada Lawmaking Works."</w:t>
      </w:r>
    </w:p>
    <w:p>
      <w:pPr>
        <w:widowControl/>
        <w:spacing w:before="100" w:after="40" w:lineRule="auto" w:line="254"/>
      </w:pPr>
      <w:r>
        <w:rPr>
          <w:rFonts w:ascii="Arial" w:hAnsi="Arial" w:cs="Arial" w:eastAsia="Arial"/>
          <w:b/>
          <w:color w:val="C0392B"/>
          <w:sz w:val="25"/>
          <w:spacing w:val="20"/>
        </w:rPr>
        <w:t>EDUCATION AND SCHOOL-SYSTEM TERMS</w:t>
      </w:r>
    </w:p>
    <w:p>
      <w:pPr>
        <w:widowControl/>
        <w:spacing w:before="0" w:after="40" w:lineRule="auto" w:line="247"/>
      </w:pPr>
      <w:r>
        <w:rPr>
          <w:rFonts w:ascii="Arial" w:hAnsi="Arial" w:cs="Arial" w:eastAsia="Arial"/>
          <w:b w:val="0"/>
          <w:i/>
          <w:color w:val="666666"/>
          <w:sz w:val="20"/>
        </w:rPr>
        <w:t>Subject terms used in the brief's proposal sections.</w:t>
      </w:r>
    </w:p>
    <w:p>
      <w:pPr>
        <w:keepLines/>
        <w:widowControl/>
        <w:spacing w:before="0" w:after="56" w:lineRule="auto" w:line="247"/>
        <w:jc w:val="both"/>
      </w:pPr>
      <w:r>
        <w:rPr>
          <w:rFonts w:ascii="Arial" w:hAnsi="Arial" w:cs="Arial" w:eastAsia="Arial"/>
          <w:b/>
          <w:color w:val="1A2D4F"/>
          <w:sz w:val="20"/>
        </w:rPr>
        <w:t>Pupil-Centered Funding Plan / Nevada Plan.</w:t>
      </w:r>
      <w:r>
        <w:rPr>
          <w:rFonts w:ascii="Arial" w:hAnsi="Arial" w:cs="Arial" w:eastAsia="Arial"/>
          <w:b w:val="0"/>
          <w:color w:val="444444"/>
          <w:sz w:val="20"/>
        </w:rPr>
        <w:t xml:space="preserve"> Nevada's school funding formula since 2019, which attaches dollars to each pupil with weights for need — replacing the 1967-era Nevada Plan.</w:t>
      </w:r>
    </w:p>
    <w:p>
      <w:pPr>
        <w:keepLines/>
        <w:widowControl/>
        <w:spacing w:before="0" w:after="56" w:lineRule="auto" w:line="247"/>
        <w:jc w:val="both"/>
      </w:pPr>
      <w:r>
        <w:rPr>
          <w:rFonts w:ascii="Arial" w:hAnsi="Arial" w:cs="Arial" w:eastAsia="Arial"/>
          <w:b/>
          <w:color w:val="1A2D4F"/>
          <w:sz w:val="20"/>
        </w:rPr>
        <w:t>Commission on School Funding.</w:t>
      </w:r>
      <w:r>
        <w:rPr>
          <w:rFonts w:ascii="Arial" w:hAnsi="Arial" w:cs="Arial" w:eastAsia="Arial"/>
          <w:b w:val="0"/>
          <w:color w:val="444444"/>
          <w:sz w:val="20"/>
        </w:rPr>
        <w:t xml:space="preserve"> The statutory body charged with calculating what fully funding Nevada schools would take.</w:t>
      </w:r>
    </w:p>
    <w:p>
      <w:pPr>
        <w:keepLines/>
        <w:widowControl/>
        <w:spacing w:before="0" w:after="56" w:lineRule="auto" w:line="247"/>
        <w:jc w:val="both"/>
      </w:pPr>
      <w:r>
        <w:rPr>
          <w:rFonts w:ascii="Arial" w:hAnsi="Arial" w:cs="Arial" w:eastAsia="Arial"/>
          <w:b/>
          <w:color w:val="1A2D4F"/>
          <w:sz w:val="20"/>
        </w:rPr>
        <w:t>Mining tax routed to education.</w:t>
      </w:r>
      <w:r>
        <w:rPr>
          <w:rFonts w:ascii="Arial" w:hAnsi="Arial" w:cs="Arial" w:eastAsia="Arial"/>
          <w:b w:val="0"/>
          <w:color w:val="444444"/>
          <w:sz w:val="20"/>
        </w:rPr>
        <w:t xml:space="preserve"> The 2021 tax on gold and silver mining whose proceeds go to schools.</w:t>
      </w:r>
    </w:p>
    <w:p>
      <w:pPr>
        <w:keepLines/>
        <w:widowControl/>
        <w:spacing w:before="0" w:after="56" w:lineRule="auto" w:line="247"/>
        <w:jc w:val="both"/>
      </w:pPr>
      <w:r>
        <w:rPr>
          <w:rFonts w:ascii="Arial" w:hAnsi="Arial" w:cs="Arial" w:eastAsia="Arial"/>
          <w:b/>
          <w:color w:val="1A2D4F"/>
          <w:sz w:val="20"/>
        </w:rPr>
        <w:t>Read by Grade 3.</w:t>
      </w:r>
      <w:r>
        <w:rPr>
          <w:rFonts w:ascii="Arial" w:hAnsi="Arial" w:cs="Arial" w:eastAsia="Arial"/>
          <w:b w:val="0"/>
          <w:color w:val="444444"/>
          <w:sz w:val="20"/>
        </w:rPr>
        <w:t xml:space="preserve"> Nevada's early-literacy program: pupils are assessed through third grade, and those reading far behind get mandatory intensive help.</w:t>
      </w:r>
    </w:p>
    <w:p>
      <w:pPr>
        <w:keepLines/>
        <w:widowControl/>
        <w:spacing w:before="0" w:after="56" w:lineRule="auto" w:line="247"/>
        <w:jc w:val="both"/>
      </w:pPr>
      <w:r>
        <w:rPr>
          <w:rFonts w:ascii="Arial" w:hAnsi="Arial" w:cs="Arial" w:eastAsia="Arial"/>
          <w:b/>
          <w:color w:val="1A2D4F"/>
          <w:sz w:val="20"/>
        </w:rPr>
        <w:t>Retention.</w:t>
      </w:r>
      <w:r>
        <w:rPr>
          <w:rFonts w:ascii="Arial" w:hAnsi="Arial" w:cs="Arial" w:eastAsia="Arial"/>
          <w:b w:val="0"/>
          <w:color w:val="444444"/>
          <w:sz w:val="20"/>
        </w:rPr>
        <w:t xml:space="preserve"> Holding a pupil back to repeat a grade. Automatic third-grade retention was removed in 2019, and no bill has proposed restoring it.</w:t>
      </w:r>
    </w:p>
    <w:p>
      <w:pPr>
        <w:keepLines/>
        <w:widowControl/>
        <w:spacing w:before="0" w:after="56" w:lineRule="auto" w:line="247"/>
        <w:jc w:val="both"/>
      </w:pPr>
      <w:r>
        <w:rPr>
          <w:rFonts w:ascii="Arial" w:hAnsi="Arial" w:cs="Arial" w:eastAsia="Arial"/>
          <w:b/>
          <w:color w:val="1A2D4F"/>
          <w:sz w:val="20"/>
        </w:rPr>
        <w:t>Statewide assessment.</w:t>
      </w:r>
      <w:r>
        <w:rPr>
          <w:rFonts w:ascii="Arial" w:hAnsi="Arial" w:cs="Arial" w:eastAsia="Arial"/>
          <w:b w:val="0"/>
          <w:color w:val="444444"/>
          <w:sz w:val="20"/>
        </w:rPr>
        <w:t xml:space="preserve"> The standardized test every Nevada pupil takes — the anchor for school ratings and the Read by Grade 3 trigger.</w:t>
      </w:r>
    </w:p>
    <w:p>
      <w:pPr>
        <w:keepLines/>
        <w:widowControl/>
        <w:spacing w:before="0" w:after="56" w:lineRule="auto" w:line="247"/>
        <w:jc w:val="both"/>
      </w:pPr>
      <w:r>
        <w:rPr>
          <w:rFonts w:ascii="Arial" w:hAnsi="Arial" w:cs="Arial" w:eastAsia="Arial"/>
          <w:b/>
          <w:color w:val="1A2D4F"/>
          <w:sz w:val="20"/>
        </w:rPr>
        <w:t>School star ratings.</w:t>
      </w:r>
      <w:r>
        <w:rPr>
          <w:rFonts w:ascii="Arial" w:hAnsi="Arial" w:cs="Arial" w:eastAsia="Arial"/>
          <w:b w:val="0"/>
          <w:color w:val="444444"/>
          <w:sz w:val="20"/>
        </w:rPr>
        <w:t xml:space="preserve"> Nevada's one-to-five-star report card for each school, built from test results and other measures.</w:t>
      </w:r>
    </w:p>
    <w:p>
      <w:pPr>
        <w:keepLines/>
        <w:widowControl/>
        <w:spacing w:before="0" w:after="56" w:lineRule="auto" w:line="247"/>
        <w:jc w:val="both"/>
      </w:pPr>
      <w:r>
        <w:rPr>
          <w:rFonts w:ascii="Arial" w:hAnsi="Arial" w:cs="Arial" w:eastAsia="Arial"/>
          <w:b/>
          <w:color w:val="1A2D4F"/>
          <w:sz w:val="20"/>
        </w:rPr>
        <w:t>Growth vs. proficiency.</w:t>
      </w:r>
      <w:r>
        <w:rPr>
          <w:rFonts w:ascii="Arial" w:hAnsi="Arial" w:cs="Arial" w:eastAsia="Arial"/>
          <w:b w:val="0"/>
          <w:color w:val="444444"/>
          <w:sz w:val="20"/>
        </w:rPr>
        <w:t xml:space="preserve"> Two ways to judge schools: how much pupils improve over a year (growth) versus how many clear a fixed bar (proficiency). Nevada's ratings already include a growth component; the failed bills changed its weight.</w:t>
      </w:r>
    </w:p>
    <w:p>
      <w:pPr>
        <w:keepLines/>
        <w:widowControl/>
        <w:spacing w:before="0" w:after="56" w:lineRule="auto" w:line="247"/>
        <w:jc w:val="both"/>
      </w:pPr>
      <w:r>
        <w:rPr>
          <w:rFonts w:ascii="Arial" w:hAnsi="Arial" w:cs="Arial" w:eastAsia="Arial"/>
          <w:b/>
          <w:color w:val="1A2D4F"/>
          <w:sz w:val="20"/>
        </w:rPr>
        <w:t>Competency-based education.</w:t>
      </w:r>
      <w:r>
        <w:rPr>
          <w:rFonts w:ascii="Arial" w:hAnsi="Arial" w:cs="Arial" w:eastAsia="Arial"/>
          <w:b w:val="0"/>
          <w:color w:val="444444"/>
          <w:sz w:val="20"/>
        </w:rPr>
        <w:t xml:space="preserve"> Letting pupils advance by demonstrating mastery rather than by hours spent in a seat.</w:t>
      </w:r>
    </w:p>
    <w:p>
      <w:pPr>
        <w:keepLines/>
        <w:widowControl/>
        <w:spacing w:before="0" w:after="56" w:lineRule="auto" w:line="247"/>
        <w:jc w:val="both"/>
      </w:pPr>
      <w:r>
        <w:rPr>
          <w:rFonts w:ascii="Arial" w:hAnsi="Arial" w:cs="Arial" w:eastAsia="Arial"/>
          <w:b/>
          <w:color w:val="1A2D4F"/>
          <w:sz w:val="20"/>
        </w:rPr>
        <w:t>Social-emotional measurement.</w:t>
      </w:r>
      <w:r>
        <w:rPr>
          <w:rFonts w:ascii="Arial" w:hAnsi="Arial" w:cs="Arial" w:eastAsia="Arial"/>
          <w:b w:val="0"/>
          <w:color w:val="444444"/>
          <w:sz w:val="20"/>
        </w:rPr>
        <w:t xml:space="preserve"> Tracking skills like self-management and relationships alongside academics.</w:t>
      </w:r>
    </w:p>
    <w:p>
      <w:pPr>
        <w:keepLines/>
        <w:widowControl/>
        <w:spacing w:before="0" w:after="56" w:lineRule="auto" w:line="247"/>
        <w:jc w:val="both"/>
      </w:pPr>
      <w:r>
        <w:rPr>
          <w:rFonts w:ascii="Arial" w:hAnsi="Arial" w:cs="Arial" w:eastAsia="Arial"/>
          <w:b/>
          <w:color w:val="1A2D4F"/>
          <w:sz w:val="20"/>
        </w:rPr>
        <w:t>End-of-course finals.</w:t>
      </w:r>
      <w:r>
        <w:rPr>
          <w:rFonts w:ascii="Arial" w:hAnsi="Arial" w:cs="Arial" w:eastAsia="Arial"/>
          <w:b w:val="0"/>
          <w:color w:val="444444"/>
          <w:sz w:val="20"/>
        </w:rPr>
        <w:t xml:space="preserve"> The statewide exams once required to finish certain high-school courses; ended in 2023.</w:t>
      </w:r>
    </w:p>
    <w:p>
      <w:pPr>
        <w:keepLines/>
        <w:widowControl/>
        <w:spacing w:before="0" w:after="56" w:lineRule="auto" w:line="247"/>
        <w:jc w:val="both"/>
      </w:pPr>
      <w:r>
        <w:rPr>
          <w:rFonts w:ascii="Arial" w:hAnsi="Arial" w:cs="Arial" w:eastAsia="Arial"/>
          <w:b/>
          <w:color w:val="1A2D4F"/>
          <w:sz w:val="20"/>
        </w:rPr>
        <w:t>Charter authority.</w:t>
      </w:r>
      <w:r>
        <w:rPr>
          <w:rFonts w:ascii="Arial" w:hAnsi="Arial" w:cs="Arial" w:eastAsia="Arial"/>
          <w:b w:val="0"/>
          <w:color w:val="444444"/>
          <w:sz w:val="20"/>
        </w:rPr>
        <w:t xml:space="preserve"> The State Public Charter School Authority, which oversees charter schools and is covered by the new recurring audits.</w:t>
      </w:r>
    </w:p>
    <w:p>
      <w:pPr>
        <w:keepLines/>
        <w:widowControl/>
        <w:spacing w:before="0" w:after="56" w:lineRule="auto" w:line="247"/>
        <w:jc w:val="both"/>
      </w:pPr>
      <w:r>
        <w:rPr>
          <w:rFonts w:ascii="Arial" w:hAnsi="Arial" w:cs="Arial" w:eastAsia="Arial"/>
          <w:b/>
          <w:color w:val="1A2D4F"/>
          <w:sz w:val="20"/>
        </w:rPr>
        <w:t>Inspector General (IG).</w:t>
      </w:r>
      <w:r>
        <w:rPr>
          <w:rFonts w:ascii="Arial" w:hAnsi="Arial" w:cs="Arial" w:eastAsia="Arial"/>
          <w:b w:val="0"/>
          <w:color w:val="444444"/>
          <w:sz w:val="20"/>
        </w:rPr>
        <w:t xml:space="preserve"> An independent watchdog office with power to investigate an agency from outside — the never-heard design for auditing school spending.</w:t>
      </w:r>
    </w:p>
    <w:p>
      <w:pPr>
        <w:keepLines/>
        <w:widowControl/>
        <w:spacing w:before="0" w:after="56" w:lineRule="auto" w:line="247"/>
        <w:jc w:val="both"/>
      </w:pPr>
      <w:r>
        <w:rPr>
          <w:rFonts w:ascii="Arial" w:hAnsi="Arial" w:cs="Arial" w:eastAsia="Arial"/>
          <w:b/>
          <w:color w:val="1A2D4F"/>
          <w:sz w:val="20"/>
        </w:rPr>
        <w:t>Six-year outside-consultant reviews.</w:t>
      </w:r>
      <w:r>
        <w:rPr>
          <w:rFonts w:ascii="Arial" w:hAnsi="Arial" w:cs="Arial" w:eastAsia="Arial"/>
          <w:b w:val="0"/>
          <w:color w:val="444444"/>
          <w:sz w:val="20"/>
        </w:rPr>
        <w:t xml:space="preserve"> The financial reviews of districts by outside consultants that existing law already requires.</w:t>
      </w:r>
    </w:p>
    <w:p>
      <w:pPr>
        <w:keepLines/>
        <w:widowControl/>
        <w:spacing w:before="0" w:after="56" w:lineRule="auto" w:line="247"/>
        <w:jc w:val="both"/>
      </w:pPr>
      <w:r>
        <w:rPr>
          <w:rFonts w:ascii="Arial" w:hAnsi="Arial" w:cs="Arial" w:eastAsia="Arial"/>
          <w:b/>
          <w:color w:val="1A2D4F"/>
          <w:sz w:val="20"/>
        </w:rPr>
        <w:t>Public Education Oversight Board.</w:t>
      </w:r>
      <w:r>
        <w:rPr>
          <w:rFonts w:ascii="Arial" w:hAnsi="Arial" w:cs="Arial" w:eastAsia="Arial"/>
          <w:b w:val="0"/>
          <w:color w:val="444444"/>
          <w:sz w:val="20"/>
        </w:rPr>
        <w:t xml:space="preserve"> The new statewide accountability board created in 2025.</w:t>
      </w:r>
    </w:p>
    <w:p>
      <w:pPr>
        <w:keepLines/>
        <w:widowControl/>
        <w:spacing w:before="0" w:after="56" w:lineRule="auto" w:line="247"/>
        <w:jc w:val="both"/>
      </w:pPr>
      <w:r>
        <w:rPr>
          <w:rFonts w:ascii="Arial" w:hAnsi="Arial" w:cs="Arial" w:eastAsia="Arial"/>
          <w:b/>
          <w:color w:val="1A2D4F"/>
          <w:sz w:val="20"/>
        </w:rPr>
        <w:t>Appointed nonvoting trustees.</w:t>
      </w:r>
      <w:r>
        <w:rPr>
          <w:rFonts w:ascii="Arial" w:hAnsi="Arial" w:cs="Arial" w:eastAsia="Arial"/>
          <w:b w:val="0"/>
          <w:color w:val="444444"/>
          <w:sz w:val="20"/>
        </w:rPr>
        <w:t xml:space="preserve"> School-board members appointed rather than elected, seated without a vote — four now sit on the Clark County board.</w:t>
      </w:r>
    </w:p>
    <w:p>
      <w:pPr>
        <w:keepLines/>
        <w:widowControl/>
        <w:spacing w:before="0" w:after="56" w:lineRule="auto" w:line="247"/>
        <w:jc w:val="both"/>
      </w:pPr>
      <w:r>
        <w:rPr>
          <w:rFonts w:ascii="Arial" w:hAnsi="Arial" w:cs="Arial" w:eastAsia="Arial"/>
          <w:b/>
          <w:color w:val="1A2D4F"/>
          <w:sz w:val="20"/>
        </w:rPr>
        <w:t>Superintendent.</w:t>
      </w:r>
      <w:r>
        <w:rPr>
          <w:rFonts w:ascii="Arial" w:hAnsi="Arial" w:cs="Arial" w:eastAsia="Arial"/>
          <w:b w:val="0"/>
          <w:color w:val="444444"/>
          <w:sz w:val="20"/>
        </w:rPr>
        <w:t xml:space="preserve"> A district's chief executive, hired by the elected school board — which is why the $485,000 contracts have never been touched by a bill.</w:t>
      </w:r>
    </w:p>
    <w:p>
      <w:pPr>
        <w:keepLines/>
        <w:widowControl/>
        <w:spacing w:before="0" w:after="56" w:lineRule="auto" w:line="247"/>
        <w:jc w:val="both"/>
      </w:pPr>
      <w:r>
        <w:rPr>
          <w:rFonts w:ascii="Arial" w:hAnsi="Arial" w:cs="Arial" w:eastAsia="Arial"/>
          <w:b/>
          <w:color w:val="1A2D4F"/>
          <w:sz w:val="20"/>
        </w:rPr>
        <w:t>Collective bargaining.</w:t>
      </w:r>
      <w:r>
        <w:rPr>
          <w:rFonts w:ascii="Arial" w:hAnsi="Arial" w:cs="Arial" w:eastAsia="Arial"/>
          <w:b w:val="0"/>
          <w:color w:val="444444"/>
          <w:sz w:val="20"/>
        </w:rPr>
        <w:t xml:space="preserve"> Contract negotiation between a district and its employee unions.</w:t>
      </w:r>
    </w:p>
    <w:p>
      <w:pPr>
        <w:keepLines/>
        <w:widowControl/>
        <w:spacing w:before="0" w:after="56" w:lineRule="auto" w:line="247"/>
        <w:jc w:val="both"/>
      </w:pPr>
      <w:r>
        <w:rPr>
          <w:rFonts w:ascii="Arial" w:hAnsi="Arial" w:cs="Arial" w:eastAsia="Arial"/>
          <w:b/>
          <w:color w:val="1A2D4F"/>
          <w:sz w:val="20"/>
        </w:rPr>
        <w:t>Hard-to-fill positions.</w:t>
      </w:r>
      <w:r>
        <w:rPr>
          <w:rFonts w:ascii="Arial" w:hAnsi="Arial" w:cs="Arial" w:eastAsia="Arial"/>
          <w:b w:val="0"/>
          <w:color w:val="444444"/>
          <w:sz w:val="20"/>
        </w:rPr>
        <w:t xml:space="preserve"> Teaching jobs districts struggle to staff — special education, rural posts — now eligible for extra pay.</w:t>
      </w:r>
    </w:p>
    <w:p>
      <w:pPr>
        <w:keepLines/>
        <w:widowControl/>
        <w:spacing w:before="0" w:after="56" w:lineRule="auto" w:line="247"/>
        <w:jc w:val="both"/>
      </w:pPr>
      <w:r>
        <w:rPr>
          <w:rFonts w:ascii="Arial" w:hAnsi="Arial" w:cs="Arial" w:eastAsia="Arial"/>
          <w:b/>
          <w:color w:val="1A2D4F"/>
          <w:sz w:val="20"/>
        </w:rPr>
        <w:t>Provisional hiring.</w:t>
      </w:r>
      <w:r>
        <w:rPr>
          <w:rFonts w:ascii="Arial" w:hAnsi="Arial" w:cs="Arial" w:eastAsia="Arial"/>
          <w:b w:val="0"/>
          <w:color w:val="444444"/>
          <w:sz w:val="20"/>
        </w:rPr>
        <w:t xml:space="preserve"> Letting a licensed out-of-state teacher start work for a year while Nevada licensure paperwork finishes.</w:t>
      </w:r>
    </w:p>
    <w:p>
      <w:pPr>
        <w:keepLines/>
        <w:widowControl/>
        <w:spacing w:before="0" w:after="56" w:lineRule="auto" w:line="247"/>
        <w:jc w:val="both"/>
      </w:pPr>
      <w:r>
        <w:rPr>
          <w:rFonts w:ascii="Arial" w:hAnsi="Arial" w:cs="Arial" w:eastAsia="Arial"/>
          <w:b/>
          <w:color w:val="1A2D4F"/>
          <w:sz w:val="20"/>
        </w:rPr>
        <w:t>Interstate Teacher Mobility Compact.</w:t>
      </w:r>
      <w:r>
        <w:rPr>
          <w:rFonts w:ascii="Arial" w:hAnsi="Arial" w:cs="Arial" w:eastAsia="Arial"/>
          <w:b w:val="0"/>
          <w:color w:val="444444"/>
          <w:sz w:val="20"/>
        </w:rPr>
        <w:t xml:space="preserve"> The multi-state agreement honoring other states' teacher licenses.</w:t>
      </w:r>
    </w:p>
    <w:p>
      <w:pPr>
        <w:keepLines/>
        <w:widowControl/>
        <w:spacing w:before="0" w:after="56" w:lineRule="auto" w:line="247"/>
        <w:jc w:val="both"/>
      </w:pPr>
      <w:r>
        <w:rPr>
          <w:rFonts w:ascii="Arial" w:hAnsi="Arial" w:cs="Arial" w:eastAsia="Arial"/>
          <w:b/>
          <w:color w:val="1A2D4F"/>
          <w:sz w:val="20"/>
        </w:rPr>
        <w:t>Teaching-pathway grants.</w:t>
      </w:r>
      <w:r>
        <w:rPr>
          <w:rFonts w:ascii="Arial" w:hAnsi="Arial" w:cs="Arial" w:eastAsia="Arial"/>
          <w:b w:val="0"/>
          <w:color w:val="444444"/>
          <w:sz w:val="20"/>
        </w:rPr>
        <w:t xml:space="preserve"> Paid routes into the profession for aspiring teachers.</w:t>
      </w:r>
    </w:p>
    <w:p>
      <w:pPr>
        <w:keepLines/>
        <w:widowControl/>
        <w:spacing w:before="0" w:after="56" w:lineRule="auto" w:line="247"/>
        <w:jc w:val="both"/>
      </w:pPr>
      <w:r>
        <w:rPr>
          <w:rFonts w:ascii="Arial" w:hAnsi="Arial" w:cs="Arial" w:eastAsia="Arial"/>
          <w:b/>
          <w:color w:val="1A2D4F"/>
          <w:sz w:val="20"/>
        </w:rPr>
        <w:t>Three-cueing.</w:t>
      </w:r>
      <w:r>
        <w:rPr>
          <w:rFonts w:ascii="Arial" w:hAnsi="Arial" w:cs="Arial" w:eastAsia="Arial"/>
          <w:b w:val="0"/>
          <w:color w:val="444444"/>
          <w:sz w:val="20"/>
        </w:rPr>
        <w:t xml:space="preserve"> A reading-instruction method that has pupils guess words from context and pictures rather than sounding them out.</w:t>
      </w:r>
    </w:p>
    <w:p>
      <w:pPr>
        <w:keepLines/>
        <w:widowControl/>
        <w:spacing w:before="0" w:after="56" w:lineRule="auto" w:line="247"/>
        <w:jc w:val="both"/>
      </w:pPr>
      <w:r>
        <w:rPr>
          <w:rFonts w:ascii="Arial" w:hAnsi="Arial" w:cs="Arial" w:eastAsia="Arial"/>
          <w:b/>
          <w:color w:val="1A2D4F"/>
          <w:sz w:val="20"/>
        </w:rPr>
        <w:t>Cross-zone transfers.</w:t>
      </w:r>
      <w:r>
        <w:rPr>
          <w:rFonts w:ascii="Arial" w:hAnsi="Arial" w:cs="Arial" w:eastAsia="Arial"/>
          <w:b w:val="0"/>
          <w:color w:val="444444"/>
          <w:sz w:val="20"/>
        </w:rPr>
        <w:t xml:space="preserve"> Letting a pupil attend a school outside the attendance zone assigned to their address, with transportation grants.</w:t>
      </w:r>
    </w:p>
    <w:p>
      <w:pPr>
        <w:keepLines/>
        <w:widowControl/>
        <w:spacing w:before="0" w:after="56" w:lineRule="auto" w:line="247"/>
        <w:jc w:val="both"/>
      </w:pPr>
      <w:r>
        <w:rPr>
          <w:rFonts w:ascii="Arial" w:hAnsi="Arial" w:cs="Arial" w:eastAsia="Arial"/>
          <w:b/>
          <w:color w:val="1A2D4F"/>
          <w:sz w:val="20"/>
        </w:rPr>
        <w:t>"Where money allows" mandates.</w:t>
      </w:r>
      <w:r>
        <w:rPr>
          <w:rFonts w:ascii="Arial" w:hAnsi="Arial" w:cs="Arial" w:eastAsia="Arial"/>
          <w:b w:val="0"/>
          <w:color w:val="444444"/>
          <w:sz w:val="20"/>
        </w:rPr>
        <w:t xml:space="preserve"> Staffing requirements — such as school social workers — that apply only to the extent funding exists. The unconditional versions die in committee; the money-permitting versions pass.</w:t>
      </w:r>
    </w:p>
    <w:p>
      <w:pPr>
        <w:keepLines/>
        <w:widowControl/>
        <w:spacing w:before="0" w:after="56" w:lineRule="auto" w:line="247"/>
        <w:jc w:val="both"/>
      </w:pPr>
      <w:r>
        <w:rPr>
          <w:rFonts w:ascii="Arial" w:hAnsi="Arial" w:cs="Arial" w:eastAsia="Arial"/>
          <w:b/>
          <w:color w:val="1A2D4F"/>
          <w:sz w:val="20"/>
        </w:rPr>
        <w:t>Ed-tech commission.</w:t>
      </w:r>
      <w:r>
        <w:rPr>
          <w:rFonts w:ascii="Arial" w:hAnsi="Arial" w:cs="Arial" w:eastAsia="Arial"/>
          <w:b w:val="0"/>
          <w:color w:val="444444"/>
          <w:sz w:val="20"/>
        </w:rPr>
        <w:t xml:space="preserve"> The state's dedicated educational-technology commission, abolished in 2023.</w:t>
      </w:r>
    </w:p>
    <w:p>
      <w:pPr>
        <w:keepLines/>
        <w:widowControl/>
        <w:spacing w:before="0" w:after="56" w:lineRule="auto" w:line="247"/>
        <w:jc w:val="both"/>
      </w:pPr>
      <w:r>
        <w:rPr>
          <w:rFonts w:ascii="Arial" w:hAnsi="Arial" w:cs="Arial" w:eastAsia="Arial"/>
          <w:b/>
          <w:color w:val="1A2D4F"/>
          <w:sz w:val="20"/>
        </w:rPr>
        <w:t>Screen time.</w:t>
      </w:r>
      <w:r>
        <w:rPr>
          <w:rFonts w:ascii="Arial" w:hAnsi="Arial" w:cs="Arial" w:eastAsia="Arial"/>
          <w:b w:val="0"/>
          <w:color w:val="444444"/>
          <w:sz w:val="20"/>
        </w:rPr>
        <w:t xml:space="preserve"> Pupils' time on classroom devices; no bill limits it in the early grades.</w:t>
      </w:r>
    </w:p>
    <w:p>
      <w:pPr>
        <w:widowControl/>
        <w:spacing w:before="100" w:after="40" w:lineRule="auto" w:line="254"/>
      </w:pPr>
      <w:r>
        <w:rPr>
          <w:rFonts w:ascii="Arial" w:hAnsi="Arial" w:cs="Arial" w:eastAsia="Arial"/>
          <w:b/>
          <w:color w:val="C0392B"/>
          <w:sz w:val="25"/>
          <w:spacing w:val="20"/>
        </w:rPr>
        <w:t>FEDERAL PROGRAMS AND TERMS</w:t>
      </w:r>
    </w:p>
    <w:p>
      <w:pPr>
        <w:widowControl/>
        <w:spacing w:before="0" w:after="40" w:lineRule="auto" w:line="247"/>
      </w:pPr>
      <w:r>
        <w:rPr>
          <w:rFonts w:ascii="Arial" w:hAnsi="Arial" w:cs="Arial" w:eastAsia="Arial"/>
          <w:b w:val="0"/>
          <w:i/>
          <w:color w:val="666666"/>
          <w:sz w:val="20"/>
        </w:rPr>
        <w:t>Terms from the brief's federal-overlap section.</w:t>
      </w:r>
    </w:p>
    <w:p>
      <w:pPr>
        <w:keepLines/>
        <w:widowControl/>
        <w:spacing w:before="0" w:after="56" w:lineRule="auto" w:line="247"/>
        <w:jc w:val="both"/>
      </w:pPr>
      <w:r>
        <w:rPr>
          <w:rFonts w:ascii="Arial" w:hAnsi="Arial" w:cs="Arial" w:eastAsia="Arial"/>
          <w:b/>
          <w:color w:val="1A2D4F"/>
          <w:sz w:val="20"/>
        </w:rPr>
        <w:t>Every Student Succeeds Act (ESSA).</w:t>
      </w:r>
      <w:r>
        <w:rPr>
          <w:rFonts w:ascii="Arial" w:hAnsi="Arial" w:cs="Arial" w:eastAsia="Arial"/>
          <w:b w:val="0"/>
          <w:color w:val="444444"/>
          <w:sz w:val="20"/>
        </w:rPr>
        <w:t xml:space="preserve"> The federal education law requiring annual statewide testing in grades 3–8 and once in high school. Dropping Nevada's statewide test would collide with it — but it allows growth-based accountability.</w:t>
      </w:r>
    </w:p>
    <w:p>
      <w:pPr>
        <w:keepLines/>
        <w:widowControl/>
        <w:spacing w:before="0" w:after="56" w:lineRule="auto" w:line="247"/>
        <w:jc w:val="both"/>
      </w:pPr>
      <w:r>
        <w:rPr>
          <w:rFonts w:ascii="Arial" w:hAnsi="Arial" w:cs="Arial" w:eastAsia="Arial"/>
          <w:b/>
          <w:color w:val="1A2D4F"/>
          <w:sz w:val="20"/>
        </w:rPr>
        <w:t>Federal single audit.</w:t>
      </w:r>
      <w:r>
        <w:rPr>
          <w:rFonts w:ascii="Arial" w:hAnsi="Arial" w:cs="Arial" w:eastAsia="Arial"/>
          <w:b w:val="0"/>
          <w:color w:val="444444"/>
          <w:sz w:val="20"/>
        </w:rPr>
        <w:t xml:space="preserve"> The annual independent audit required of any district spending significant federal money.</w:t>
      </w:r>
    </w:p>
    <w:p>
      <w:pPr>
        <w:keepLines/>
        <w:widowControl/>
        <w:spacing w:before="0" w:after="56" w:lineRule="auto" w:line="247"/>
        <w:jc w:val="both"/>
      </w:pPr>
      <w:r>
        <w:rPr>
          <w:rFonts w:ascii="Arial" w:hAnsi="Arial" w:cs="Arial" w:eastAsia="Arial"/>
          <w:b/>
          <w:color w:val="1A2D4F"/>
          <w:sz w:val="20"/>
        </w:rPr>
        <w:t>FERPA / COPPA.</w:t>
      </w:r>
      <w:r>
        <w:rPr>
          <w:rFonts w:ascii="Arial" w:hAnsi="Arial" w:cs="Arial" w:eastAsia="Arial"/>
          <w:b w:val="0"/>
          <w:color w:val="444444"/>
          <w:sz w:val="20"/>
        </w:rPr>
        <w:t xml:space="preserve"> The federal laws protecting pupil records and children's online data — the ground Nevada's pupil-data disclosure law built on.</w:t>
      </w:r>
    </w:p>
    <w:p>
      <w:pPr>
        <w:keepLines/>
        <w:widowControl/>
        <w:spacing w:before="0" w:after="56" w:lineRule="auto" w:line="247"/>
        <w:jc w:val="both"/>
      </w:pPr>
      <w:r>
        <w:rPr>
          <w:rFonts w:ascii="Arial" w:hAnsi="Arial" w:cs="Arial" w:eastAsia="Arial"/>
          <w:b/>
          <w:color w:val="1A2D4F"/>
          <w:sz w:val="20"/>
        </w:rPr>
        <w:t>Head Start.</w:t>
      </w:r>
      <w:r>
        <w:rPr>
          <w:rFonts w:ascii="Arial" w:hAnsi="Arial" w:cs="Arial" w:eastAsia="Arial"/>
          <w:b w:val="0"/>
          <w:color w:val="444444"/>
          <w:sz w:val="20"/>
        </w:rPr>
        <w:t xml:space="preserve"> The federal pre-kindergarten program for low-income families. Universal federal pre-K has been proposed but never enacted.</w:t>
      </w:r>
    </w:p>
    <w:p>
      <w:pPr>
        <w:keepLines/>
        <w:widowControl/>
        <w:spacing w:before="0" w:after="56" w:lineRule="auto" w:line="247"/>
        <w:jc w:val="both"/>
      </w:pPr>
      <w:r>
        <w:rPr>
          <w:rFonts w:ascii="Arial" w:hAnsi="Arial" w:cs="Arial" w:eastAsia="Arial"/>
          <w:b/>
          <w:color w:val="1A2D4F"/>
          <w:sz w:val="20"/>
        </w:rPr>
        <w:t>Federal teacher loan forgiveness.</w:t>
      </w:r>
      <w:r>
        <w:rPr>
          <w:rFonts w:ascii="Arial" w:hAnsi="Arial" w:cs="Arial" w:eastAsia="Arial"/>
          <w:b w:val="0"/>
          <w:color w:val="444444"/>
          <w:sz w:val="20"/>
        </w:rPr>
        <w:t xml:space="preserve"> Existing federal programs that cancel student debt for teachers who serve qualifying schools.</w:t>
      </w:r>
    </w:p>
    <w:p>
      <w:pPr>
        <w:widowControl/>
        <w:spacing w:before="100" w:after="40" w:lineRule="auto" w:line="254"/>
      </w:pPr>
      <w:r>
        <w:rPr>
          <w:rFonts w:ascii="Arial" w:hAnsi="Arial" w:cs="Arial" w:eastAsia="Arial"/>
          <w:b/>
          <w:color w:val="C0392B"/>
          <w:sz w:val="25"/>
          <w:spacing w:val="20"/>
        </w:rPr>
        <w:t>ACRONYMS AND ABBREVIATIONS</w:t>
      </w:r>
    </w:p>
    <w:p>
      <w:pPr>
        <w:widowControl/>
        <w:spacing w:before="0" w:after="40" w:lineRule="auto" w:line="247"/>
      </w:pPr>
      <w:r>
        <w:rPr>
          <w:rFonts w:ascii="Arial" w:hAnsi="Arial" w:cs="Arial" w:eastAsia="Arial"/>
          <w:b w:val="0"/>
          <w:i/>
          <w:color w:val="666666"/>
          <w:sz w:val="20"/>
        </w:rPr>
        <w:t>Every shortened form used in the brief.</w:t>
      </w:r>
    </w:p>
    <w:p>
      <w:pPr>
        <w:keepLines/>
        <w:widowControl/>
        <w:spacing w:before="0" w:after="56" w:lineRule="auto" w:line="247"/>
        <w:jc w:val="both"/>
      </w:pPr>
      <w:r>
        <w:rPr>
          <w:rFonts w:ascii="Arial" w:hAnsi="Arial" w:cs="Arial" w:eastAsia="Arial"/>
          <w:b/>
          <w:color w:val="1A2D4F"/>
          <w:sz w:val="20"/>
        </w:rPr>
        <w:t>AB / SB.</w:t>
      </w:r>
      <w:r>
        <w:rPr>
          <w:rFonts w:ascii="Arial" w:hAnsi="Arial" w:cs="Arial" w:eastAsia="Arial"/>
          <w:b w:val="0"/>
          <w:color w:val="444444"/>
          <w:sz w:val="20"/>
        </w:rPr>
        <w:t xml:space="preserve"> Assembly Bill / Senate Bill — the chamber a bill started in, plus its number. Numbering restarts every session, so the same number in different years is a different bill.</w:t>
      </w:r>
    </w:p>
    <w:p>
      <w:pPr>
        <w:keepLines/>
        <w:widowControl/>
        <w:spacing w:before="0" w:after="56" w:lineRule="auto" w:line="247"/>
        <w:jc w:val="both"/>
      </w:pPr>
      <w:r>
        <w:rPr>
          <w:rFonts w:ascii="Arial" w:hAnsi="Arial" w:cs="Arial" w:eastAsia="Arial"/>
          <w:b/>
          <w:color w:val="1A2D4F"/>
          <w:sz w:val="20"/>
        </w:rPr>
        <w:t>D / R.</w:t>
      </w:r>
      <w:r>
        <w:rPr>
          <w:rFonts w:ascii="Arial" w:hAnsi="Arial" w:cs="Arial" w:eastAsia="Arial"/>
          <w:b w:val="0"/>
          <w:color w:val="444444"/>
          <w:sz w:val="20"/>
        </w:rPr>
        <w:t xml:space="preserve"> Democrat / Republican, shown after a legislator's name.</w:t>
      </w:r>
    </w:p>
    <w:p>
      <w:pPr>
        <w:keepLines/>
        <w:widowControl/>
        <w:spacing w:before="0" w:after="56" w:lineRule="auto" w:line="247"/>
        <w:jc w:val="both"/>
      </w:pPr>
      <w:r>
        <w:rPr>
          <w:rFonts w:ascii="Arial" w:hAnsi="Arial" w:cs="Arial" w:eastAsia="Arial"/>
          <w:b/>
          <w:color w:val="1A2D4F"/>
          <w:sz w:val="20"/>
        </w:rPr>
        <w:t>K-12 / K-5.</w:t>
      </w:r>
      <w:r>
        <w:rPr>
          <w:rFonts w:ascii="Arial" w:hAnsi="Arial" w:cs="Arial" w:eastAsia="Arial"/>
          <w:b w:val="0"/>
          <w:color w:val="444444"/>
          <w:sz w:val="20"/>
        </w:rPr>
        <w:t xml:space="preserve"> Kindergarten through grade 12 (all of public school) / kindergarten through grade 5 (elementary).</w:t>
      </w:r>
    </w:p>
    <w:p>
      <w:pPr>
        <w:keepLines/>
        <w:widowControl/>
        <w:spacing w:before="0" w:after="56" w:lineRule="auto" w:line="247"/>
        <w:jc w:val="both"/>
      </w:pPr>
      <w:r>
        <w:rPr>
          <w:rFonts w:ascii="Arial" w:hAnsi="Arial" w:cs="Arial" w:eastAsia="Arial"/>
          <w:b/>
          <w:color w:val="1A2D4F"/>
          <w:sz w:val="20"/>
        </w:rPr>
        <w:t>AI.</w:t>
      </w:r>
      <w:r>
        <w:rPr>
          <w:rFonts w:ascii="Arial" w:hAnsi="Arial" w:cs="Arial" w:eastAsia="Arial"/>
          <w:b w:val="0"/>
          <w:color w:val="444444"/>
          <w:sz w:val="20"/>
        </w:rPr>
        <w:t xml:space="preserve"> Artificial intelligence — software that mimics human judgment; barred from school counselors' duties in 2025.</w:t>
      </w:r>
    </w:p>
    <w:p>
      <w:pPr>
        <w:keepLines/>
        <w:widowControl/>
        <w:spacing w:before="0" w:after="56" w:lineRule="auto" w:line="247"/>
        <w:jc w:val="both"/>
      </w:pPr>
      <w:r>
        <w:rPr>
          <w:rFonts w:ascii="Arial" w:hAnsi="Arial" w:cs="Arial" w:eastAsia="Arial"/>
          <w:b/>
          <w:color w:val="1A2D4F"/>
          <w:sz w:val="20"/>
        </w:rPr>
        <w:t>IG.</w:t>
      </w:r>
      <w:r>
        <w:rPr>
          <w:rFonts w:ascii="Arial" w:hAnsi="Arial" w:cs="Arial" w:eastAsia="Arial"/>
          <w:b w:val="0"/>
          <w:color w:val="444444"/>
          <w:sz w:val="20"/>
        </w:rPr>
        <w:t xml:space="preserve"> Inspector General.</w:t>
      </w:r>
    </w:p>
    <w:p>
      <w:pPr>
        <w:keepLines/>
        <w:widowControl/>
        <w:spacing w:before="0" w:after="56" w:lineRule="auto" w:line="247"/>
        <w:jc w:val="both"/>
      </w:pPr>
      <w:r>
        <w:rPr>
          <w:rFonts w:ascii="Arial" w:hAnsi="Arial" w:cs="Arial" w:eastAsia="Arial"/>
          <w:b/>
          <w:color w:val="1A2D4F"/>
          <w:sz w:val="20"/>
        </w:rPr>
        <w:t>PE.</w:t>
      </w:r>
      <w:r>
        <w:rPr>
          <w:rFonts w:ascii="Arial" w:hAnsi="Arial" w:cs="Arial" w:eastAsia="Arial"/>
          <w:b w:val="0"/>
          <w:color w:val="444444"/>
          <w:sz w:val="20"/>
        </w:rPr>
        <w:t xml:space="preserve"> Physical education.</w:t>
      </w:r>
    </w:p>
    <w:p>
      <w:pPr>
        <w:keepLines/>
        <w:widowControl/>
        <w:spacing w:before="0" w:after="56" w:lineRule="auto" w:line="247"/>
        <w:jc w:val="both"/>
      </w:pPr>
      <w:r>
        <w:rPr>
          <w:rFonts w:ascii="Arial" w:hAnsi="Arial" w:cs="Arial" w:eastAsia="Arial"/>
          <w:b/>
          <w:color w:val="1A2D4F"/>
          <w:sz w:val="20"/>
        </w:rPr>
        <w:t>ESSA.</w:t>
      </w:r>
      <w:r>
        <w:rPr>
          <w:rFonts w:ascii="Arial" w:hAnsi="Arial" w:cs="Arial" w:eastAsia="Arial"/>
          <w:b w:val="0"/>
          <w:color w:val="444444"/>
          <w:sz w:val="20"/>
        </w:rPr>
        <w:t xml:space="preserve"> Every Student Succeeds Act (federal).</w:t>
      </w:r>
    </w:p>
    <w:p>
      <w:pPr>
        <w:keepLines/>
        <w:widowControl/>
        <w:spacing w:before="0" w:after="56" w:lineRule="auto" w:line="247"/>
        <w:jc w:val="both"/>
      </w:pPr>
      <w:r>
        <w:rPr>
          <w:rFonts w:ascii="Arial" w:hAnsi="Arial" w:cs="Arial" w:eastAsia="Arial"/>
          <w:b/>
          <w:color w:val="1A2D4F"/>
          <w:sz w:val="20"/>
        </w:rPr>
        <w:t>FERPA.</w:t>
      </w:r>
      <w:r>
        <w:rPr>
          <w:rFonts w:ascii="Arial" w:hAnsi="Arial" w:cs="Arial" w:eastAsia="Arial"/>
          <w:b w:val="0"/>
          <w:color w:val="444444"/>
          <w:sz w:val="20"/>
        </w:rPr>
        <w:t xml:space="preserve"> Family Educational Rights and Privacy Act (federal).</w:t>
      </w:r>
    </w:p>
    <w:p>
      <w:pPr>
        <w:keepLines/>
        <w:widowControl/>
        <w:spacing w:before="0" w:after="56" w:lineRule="auto" w:line="247"/>
        <w:jc w:val="both"/>
      </w:pPr>
      <w:r>
        <w:rPr>
          <w:rFonts w:ascii="Arial" w:hAnsi="Arial" w:cs="Arial" w:eastAsia="Arial"/>
          <w:b/>
          <w:color w:val="1A2D4F"/>
          <w:sz w:val="20"/>
        </w:rPr>
        <w:t>COPPA.</w:t>
      </w:r>
      <w:r>
        <w:rPr>
          <w:rFonts w:ascii="Arial" w:hAnsi="Arial" w:cs="Arial" w:eastAsia="Arial"/>
          <w:b w:val="0"/>
          <w:color w:val="444444"/>
          <w:sz w:val="20"/>
        </w:rPr>
        <w:t xml:space="preserve"> Children's Online Privacy Protection Act (federal).</w:t>
      </w:r>
    </w:p>
    <w:p>
      <w:pPr>
        <w:widowControl/>
        <w:spacing w:before="40" w:after="0" w:lineRule="auto" w:line="254"/>
        <w:pBdr>
          <w:top w:val="single" w:sz="6" w:space="4" w:color="C8CDD6"/>
        </w:pBdr>
      </w:pPr>
      <w:r>
        <w:rPr>
          <w:rFonts w:ascii="Arial" w:hAnsi="Arial" w:cs="Arial" w:eastAsia="Arial"/>
          <w:b w:val="0"/>
          <w:color w:val="666666"/>
          <w:sz w:val="20"/>
          <w:spacing w:val="4"/>
        </w:rPr>
        <w:t>Companion glossary to the citizen brief v3.0</w:t>
      </w:r>
    </w:p>
    <w:sectPr w:rsidR="00FC693F" w:rsidRPr="0006063C" w:rsidSect="00034616">
      <w:pgSz w:w="12240" w:h="15840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