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Glossary — Water Scarcity Brief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Plain-language definitions for the terms and acronyms in "Growth, Water Scarcity, and Long-Term Supply in Nevada" (citizen brief v3.0). Lawmaking-process terms are in the shared companion, "How Nevada Lawmaking Works."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WATER AND GROWTH TERMS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Subject terms used in the brief's proposal sections.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Water right.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legal entitlement to take a set amount of water from a set source. Nevada's water is fully spoken for in many places, so rights are bought, sold, dedicated, and retired like property.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Water-right dedication.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Handing water rights to a utility or authority as a condition of building — the "bring your own water" idea.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Groundwater basin.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underground water source managed as one unit. An </w:t>
      </w:r>
      <w:r>
        <w:rPr>
          <w:rFonts w:ascii="Arial" w:hAnsi="Arial" w:cs="Arial" w:eastAsia="Arial"/>
          <w:b/>
          <w:color w:val="1A2D4F"/>
          <w:sz w:val="20"/>
        </w:rPr>
        <w:t>over-appropriated basin</w:t>
      </w:r>
      <w:r>
        <w:rPr>
          <w:rFonts w:ascii="Arial" w:hAnsi="Arial" w:cs="Arial" w:eastAsia="Arial"/>
          <w:b w:val="0"/>
          <w:color w:val="444444"/>
          <w:sz w:val="20"/>
        </w:rPr>
        <w:t xml:space="preserve"> has more rights on paper than real water; a </w:t>
      </w:r>
      <w:r>
        <w:rPr>
          <w:rFonts w:ascii="Arial" w:hAnsi="Arial" w:cs="Arial" w:eastAsia="Arial"/>
          <w:b/>
          <w:color w:val="1A2D4F"/>
          <w:sz w:val="20"/>
        </w:rPr>
        <w:t>critical management area</w:t>
      </w:r>
      <w:r>
        <w:rPr>
          <w:rFonts w:ascii="Arial" w:hAnsi="Arial" w:cs="Arial" w:eastAsia="Arial"/>
          <w:b w:val="0"/>
          <w:color w:val="444444"/>
          <w:sz w:val="20"/>
        </w:rPr>
        <w:t xml:space="preserve"> is a severely over-pumped basin under stronger state controls.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Buy-and-retire.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 buying water rights and permanently canceling them so the water stays in the ground.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Basin water budget.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accounting of how much water enters a basin versus how much is pumped out.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Old claims.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Water claims from before Nevada's permit system that have never been formally confirmed; "staff for old claims" means hiring people to settle them.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Conjunctive management.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Managing rivers, streams, and groundwater as one connected supply instead of separate systems.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Domestic well.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private well serving a single home. In stressed basins, domestic wells must be metered to keep pumping.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Metering / retail metering.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Measuring each customer's actual water use. Without retail meters, homes and businesses pay flat rates no matter how much they use.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Water-loss audit.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utility's accounting of water lost to leaks or never billed.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State Engineer.</w:t>
      </w:r>
      <w:r>
        <w:rPr>
          <w:rFonts w:ascii="Arial" w:hAnsi="Arial" w:cs="Arial" w:eastAsia="Arial"/>
          <w:b w:val="0"/>
          <w:color w:val="444444"/>
          <w:sz w:val="20"/>
        </w:rPr>
        <w:t xml:space="preserve"> Nevada's chief water regulator, who decides water-right applications and manages basins; head of the Division of Water Resources.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Water authority.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regional agency, such as the Southern Nevada Water Authority, that manages supply for its area. Its rules are not state law.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Moratorium.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temporary ban — such as the local ban on new evaporative-cooling systems.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Evaporative cooling / water-cooled towers.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Cooling equipment that works by evaporating large volumes of water — the standard technology for big buildings and data centers in dry climates.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Refrigerants.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chemicals inside non-evaporative cooling equipment — the water-free alternative.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Data center.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warehouse of computer servers, among the largest water and power users a county can attract.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Tax abatement.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discount on a company's future taxes, granted up front to recruit it to Nevada. "Conditions on abatements" means attaching requirements before the discount is given.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Cloud seeding.</w:t>
      </w:r>
      <w:r>
        <w:rPr>
          <w:rFonts w:ascii="Arial" w:hAnsi="Arial" w:cs="Arial" w:eastAsia="Arial"/>
          <w:b w:val="0"/>
          <w:color w:val="444444"/>
          <w:sz w:val="20"/>
        </w:rPr>
        <w:t xml:space="preserve"> Releasing tiny particles into clouds to coax more snow or rain from storms.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Decorative Colorado River grass.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Ornamental turf no one walks on, irrigated with Colorado River water; banned in southern Nevada in 2021.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Master plan.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local government's long-range blueprint for growth.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Drought reserve.</w:t>
      </w:r>
      <w:r>
        <w:rPr>
          <w:rFonts w:ascii="Arial" w:hAnsi="Arial" w:cs="Arial" w:eastAsia="Arial"/>
          <w:b w:val="0"/>
          <w:color w:val="444444"/>
          <w:sz w:val="20"/>
        </w:rPr>
        <w:t xml:space="preserve"> Extra water rights a developer must dedicate beyond a project's needs — 11 percent in the Truckee Meadows (the Reno–Sparks area).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Public-benefit metrics.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Measurable commitments — jobs, water savings — that a company would have to hit before receiving an incentive.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Economic Forum.</w:t>
      </w:r>
      <w:r>
        <w:rPr>
          <w:rFonts w:ascii="Arial" w:hAnsi="Arial" w:cs="Arial" w:eastAsia="Arial"/>
          <w:b w:val="0"/>
          <w:color w:val="444444"/>
          <w:sz w:val="20"/>
        </w:rPr>
        <w:t xml:space="preserve"> Nevada's official five-member panel of private-sector experts whose revenue forecast the state budget must use; the brief's model for a proposed expert water body.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Shut-off protections.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Limits on when a utility may disconnect a customer's water service.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FEDERAL PROGRAMS AND TERMS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Terms from the brief's federal-overlap section.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Interstate compact.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binding agreement among states, approved by Congress. The Colorado River is divided among seven states by compact, so Nevada's share cannot be changed by a state bill.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Bureau of Reclamation.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agency that operates the Colorado River's dams and reservoirs and sets its shortage rules.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Post-2026 operating guidelines.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next set of federal rules for managing the Colorado River, under negotiation now to replace rules that expire in 2026.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Federal drought-response money.</w:t>
      </w:r>
      <w:r>
        <w:rPr>
          <w:rFonts w:ascii="Arial" w:hAnsi="Arial" w:cs="Arial" w:eastAsia="Arial"/>
          <w:b w:val="0"/>
          <w:color w:val="444444"/>
          <w:sz w:val="20"/>
        </w:rPr>
        <w:t xml:space="preserve"> Funds Congress appropriated in 2022 that pay Colorado River users for measured water conservation.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ACRONYMS AND ABBREVIATIONS</w:t>
      </w:r>
    </w:p>
    <w:p>
      <w:pPr>
        <w:widowControl/>
        <w:spacing w:before="0" w:after="40" w:lineRule="auto" w:line="247"/>
      </w:pPr>
      <w:r>
        <w:rPr>
          <w:rFonts w:ascii="Arial" w:hAnsi="Arial" w:cs="Arial" w:eastAsia="Arial"/>
          <w:b w:val="0"/>
          <w:i/>
          <w:color w:val="666666"/>
          <w:sz w:val="20"/>
        </w:rPr>
        <w:t>Every shortened form used in the brief.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AB / SB.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Bill / Senate Bill — the chamber a bill started in, plus its number. Numbering restarts every session, so the same number in different years is a different bill.</w:t>
      </w:r>
    </w:p>
    <w:p>
      <w:pPr>
        <w:keepLines/>
        <w:widowControl/>
        <w:spacing w:before="0" w:after="56" w:lineRule="auto" w:line="247"/>
        <w:jc w:val="both"/>
      </w:pPr>
      <w:r>
        <w:rPr>
          <w:rFonts w:ascii="Arial" w:hAnsi="Arial" w:cs="Arial" w:eastAsia="Arial"/>
          <w:b/>
          <w:color w:val="1A2D4F"/>
          <w:sz w:val="20"/>
        </w:rPr>
        <w:t>D / R.</w:t>
      </w:r>
      <w:r>
        <w:rPr>
          <w:rFonts w:ascii="Arial" w:hAnsi="Arial" w:cs="Arial" w:eastAsia="Arial"/>
          <w:b w:val="0"/>
          <w:color w:val="444444"/>
          <w:sz w:val="20"/>
        </w:rPr>
        <w:t xml:space="preserve"> Democrat / Republican, shown after a legislator's name.</w:t>
      </w:r>
    </w:p>
    <w:p>
      <w:pPr>
        <w:widowControl/>
        <w:spacing w:before="40" w:after="0" w:lineRule="auto" w:line="254"/>
        <w:pBdr>
          <w:top w:val="single" w:sz="6" w:space="4" w:color="C8CDD6"/>
        </w:pBdr>
      </w:pPr>
      <w:r>
        <w:rPr>
          <w:rFonts w:ascii="Arial" w:hAnsi="Arial" w:cs="Arial" w:eastAsia="Arial"/>
          <w:b w:val="0"/>
          <w:color w:val="666666"/>
          <w:sz w:val="20"/>
          <w:spacing w:val="4"/>
        </w:rPr>
        <w:t>Companion glossary to the citizen brief v3.0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