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K-12 Educational Outcomes in Nevada</w:t>
      </w:r>
    </w:p>
    <w:p>
      <w:pPr>
        <w:widowControl/>
        <w:spacing w:before="0" w:after="120" w:lineRule="auto" w:line="254"/>
      </w:pPr>
      <w:r>
        <w:rPr>
          <w:rFonts w:ascii="Arial" w:hAnsi="Arial" w:cs="Arial" w:eastAsia="Arial"/>
          <w:b w:val="0"/>
          <w:color w:val="444444"/>
          <w:sz w:val="20"/>
        </w:rPr>
        <w:t>The legislative record behind Nevadans' ten most common K-12 education proposals, 2019–2025 — organized by how far each idea has traveled toward law.</w:t>
      </w:r>
    </w:p>
    <w:p>
      <w:pPr>
        <w:widowControl/>
        <w:spacing w:before="100" w:after="40" w:lineRule="auto" w:line="254"/>
      </w:pPr>
      <w:r>
        <w:rPr>
          <w:rFonts w:ascii="Arial" w:hAnsi="Arial" w:cs="Arial" w:eastAsia="Arial"/>
          <w:b/>
          <w:color w:val="C0392B"/>
          <w:sz w:val="25"/>
          <w:spacing w:val="20"/>
        </w:rPr>
        <w:t>WHAT THIS BRIEF COVERS</w:t>
      </w:r>
    </w:p>
    <w:p>
      <w:pPr>
        <w:widowControl/>
        <w:spacing w:before="0" w:after="56" w:lineRule="auto" w:line="247"/>
        <w:jc w:val="both"/>
      </w:pPr>
      <w:r>
        <w:rPr>
          <w:rFonts w:ascii="Arial" w:hAnsi="Arial" w:cs="Arial" w:eastAsia="Arial"/>
          <w:b w:val="0"/>
          <w:color w:val="444444"/>
          <w:sz w:val="20"/>
        </w:rPr>
        <w:t>Education is the Legislature's biggest and most cross-party subject: 513 bills across the 2019, 2021, 2023, and 2025 sessions, 228 of them now law. The big structural fight settled early — SB543 (2019) replaced the Nevada Plan with the Pupil-Centered Funding Plan — and every session since has built on it. Raises, audits, funding acts, and licensure bills pass, usually near-unanimously, and get signed; what stalls is narrower — oversight machinery, classroom-time mandates, and changes to what gets measured, several within one vote of law.</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513</w:t>
            </w:r>
          </w:p>
          <w:p>
            <w:pPr>
              <w:spacing w:after="0" w:line="240" w:lineRule="auto"/>
            </w:pPr>
            <w:r>
              <w:rPr>
                <w:rFonts w:ascii="Arial" w:hAnsi="Arial" w:cs="Arial" w:eastAsia="Arial"/>
                <w:b w:val="0"/>
                <w:color w:val="666666"/>
                <w:sz w:val="20"/>
              </w:rPr>
              <w:t>education bills, 2019–2025</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228</w:t>
            </w:r>
          </w:p>
          <w:p>
            <w:pPr>
              <w:spacing w:after="0" w:line="240" w:lineRule="auto"/>
            </w:pPr>
            <w:r>
              <w:rPr>
                <w:rFonts w:ascii="Arial" w:hAnsi="Arial" w:cs="Arial" w:eastAsia="Arial"/>
                <w:b w:val="0"/>
                <w:color w:val="666666"/>
                <w:sz w:val="20"/>
              </w:rPr>
              <w:t>became law</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55</w:t>
            </w:r>
          </w:p>
          <w:p>
            <w:pPr>
              <w:spacing w:after="0" w:line="240" w:lineRule="auto"/>
            </w:pPr>
            <w:r>
              <w:rPr>
                <w:rFonts w:ascii="Arial" w:hAnsi="Arial" w:cs="Arial" w:eastAsia="Arial"/>
                <w:b w:val="0"/>
                <w:color w:val="666666"/>
                <w:sz w:val="20"/>
              </w:rPr>
              <w:t>policy bills with sponsors from both parties</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7</w:t>
            </w:r>
          </w:p>
          <w:p>
            <w:pPr>
              <w:spacing w:after="0" w:line="240" w:lineRule="auto"/>
            </w:pPr>
            <w:r>
              <w:rPr>
                <w:rFonts w:ascii="Arial" w:hAnsi="Arial" w:cs="Arial" w:eastAsia="Arial"/>
                <w:b w:val="0"/>
                <w:color w:val="666666"/>
                <w:sz w:val="20"/>
              </w:rPr>
              <w:t>outside-audit bills — none got a vote</w:t>
            </w:r>
          </w:p>
        </w:tc>
      </w:tr>
    </w:tbl>
    <w:p>
      <w:pPr>
        <w:widowControl/>
        <w:spacing w:before="0" w:after="60" w:lineRule="auto" w:line="254"/>
      </w:pPr>
    </w:p>
    <w:p>
      <w:pPr>
        <w:widowControl/>
        <w:spacing w:before="100" w:after="40" w:lineRule="auto" w:line="254"/>
      </w:pPr>
      <w:r>
        <w:rPr>
          <w:rFonts w:ascii="Arial" w:hAnsi="Arial" w:cs="Arial" w:eastAsia="Arial"/>
          <w:b/>
          <w:color w:val="C0392B"/>
          <w:sz w:val="25"/>
          <w:spacing w:val="20"/>
        </w:rPr>
        <w:t>CLOSEST TO LAW: BILLS THAT PASSED BOTH CHAMBERS</w:t>
      </w:r>
    </w:p>
    <w:p>
      <w:pPr>
        <w:widowControl/>
        <w:spacing w:before="0" w:after="40" w:lineRule="auto" w:line="247"/>
      </w:pPr>
      <w:r>
        <w:rPr>
          <w:rFonts w:ascii="Arial" w:hAnsi="Arial" w:cs="Arial" w:eastAsia="Arial"/>
          <w:b w:val="0"/>
          <w:i/>
          <w:color w:val="666666"/>
          <w:sz w:val="20"/>
        </w:rPr>
        <w:t>Majorities in both houses already; only a veto or the clock stopped these bills.</w:t>
      </w:r>
    </w:p>
    <w:p>
      <w:pPr>
        <w:widowControl/>
        <w:spacing w:before="80" w:after="30" w:lineRule="auto" w:line="250"/>
      </w:pPr>
      <w:r>
        <w:rPr>
          <w:rFonts w:ascii="Arial" w:hAnsi="Arial" w:cs="Arial" w:eastAsia="Arial"/>
          <w:b/>
          <w:color w:val="2E4A78"/>
          <w:sz w:val="24"/>
        </w:rPr>
        <w:t>Passed both chambers, lost to the clock</w:t>
      </w:r>
    </w:p>
    <w:p>
      <w:pPr>
        <w:widowControl/>
        <w:spacing w:before="0" w:after="56" w:lineRule="auto" w:line="247"/>
        <w:jc w:val="both"/>
      </w:pPr>
      <w:r>
        <w:rPr>
          <w:rFonts w:ascii="Arial" w:hAnsi="Arial" w:cs="Arial" w:eastAsia="Arial"/>
          <w:b/>
          <w:color w:val="1A2D4F"/>
          <w:sz w:val="20"/>
        </w:rPr>
        <w:t>An alternative Read by Grade 3 assessment — AB386 (2025).</w:t>
      </w:r>
      <w:r>
        <w:rPr>
          <w:rFonts w:ascii="Arial" w:hAnsi="Arial" w:cs="Arial" w:eastAsia="Arial"/>
          <w:b w:val="0"/>
          <w:color w:val="444444"/>
          <w:sz w:val="20"/>
        </w:rPr>
        <w:t xml:space="preserve"> Let Washoe County pilot an alternative literacy assessment; it passed 40–0 and 21–0 as amended and died awaiting a final concurrence vote at session's end — two unanimous chambers, the record's most advanced unfinished bill.</w:t>
      </w:r>
    </w:p>
    <w:p>
      <w:pPr>
        <w:widowControl/>
        <w:spacing w:before="80" w:after="30" w:lineRule="auto" w:line="250"/>
      </w:pPr>
      <w:r>
        <w:rPr>
          <w:rFonts w:ascii="Arial" w:hAnsi="Arial" w:cs="Arial" w:eastAsia="Arial"/>
          <w:b/>
          <w:color w:val="2E4A78"/>
          <w:sz w:val="24"/>
        </w:rPr>
        <w:t>Vetoed at the governor's desk</w:t>
      </w:r>
    </w:p>
    <w:p>
      <w:pPr>
        <w:widowControl/>
        <w:spacing w:before="0" w:after="56" w:lineRule="auto" w:line="247"/>
        <w:jc w:val="both"/>
      </w:pPr>
      <w:r>
        <w:rPr>
          <w:rFonts w:ascii="Arial" w:hAnsi="Arial" w:cs="Arial" w:eastAsia="Arial"/>
          <w:b w:val="0"/>
          <w:color w:val="444444"/>
          <w:sz w:val="20"/>
        </w:rPr>
        <w:t xml:space="preserve">All 13 education vetoes fall in 2023 and 2025 and attach to specific designs: </w:t>
      </w:r>
      <w:r>
        <w:rPr>
          <w:rFonts w:ascii="Arial" w:hAnsi="Arial" w:cs="Arial" w:eastAsia="Arial"/>
          <w:b/>
          <w:color w:val="1A2D4F"/>
          <w:sz w:val="20"/>
        </w:rPr>
        <w:t>the statewide children's mental-health consortium (AB265, 2023)</w:t>
      </w:r>
      <w:r>
        <w:rPr>
          <w:rFonts w:ascii="Arial" w:hAnsi="Arial" w:cs="Arial" w:eastAsia="Arial"/>
          <w:b w:val="0"/>
          <w:color w:val="444444"/>
          <w:sz w:val="20"/>
        </w:rPr>
        <w:t xml:space="preserve">, vetoed after passing 42–0 and 20–0; </w:t>
      </w:r>
      <w:r>
        <w:rPr>
          <w:rFonts w:ascii="Arial" w:hAnsi="Arial" w:cs="Arial" w:eastAsia="Arial"/>
          <w:b/>
          <w:color w:val="1A2D4F"/>
          <w:sz w:val="20"/>
        </w:rPr>
        <w:t>the substitute-teacher insurance subsidy (AB282, 2023)</w:t>
      </w:r>
      <w:r>
        <w:rPr>
          <w:rFonts w:ascii="Arial" w:hAnsi="Arial" w:cs="Arial" w:eastAsia="Arial"/>
          <w:b w:val="0"/>
          <w:color w:val="444444"/>
          <w:sz w:val="20"/>
        </w:rPr>
        <w:t xml:space="preserve">, vetoed after 31–11 and 16–4; </w:t>
      </w:r>
      <w:r>
        <w:rPr>
          <w:rFonts w:ascii="Arial" w:hAnsi="Arial" w:cs="Arial" w:eastAsia="Arial"/>
          <w:b/>
          <w:color w:val="1A2D4F"/>
          <w:sz w:val="20"/>
        </w:rPr>
        <w:t>class-size collective bargaining (AB155, 2025)</w:t>
      </w:r>
      <w:r>
        <w:rPr>
          <w:rFonts w:ascii="Arial" w:hAnsi="Arial" w:cs="Arial" w:eastAsia="Arial"/>
          <w:b w:val="0"/>
          <w:color w:val="444444"/>
          <w:sz w:val="20"/>
        </w:rPr>
        <w:t>. Collective-bargaining, school-adjacent health, and library bills are the designs that stop at the desk.</w:t>
      </w:r>
    </w:p>
    <w:p>
      <w:pPr>
        <w:widowControl/>
        <w:spacing w:before="100" w:after="40" w:lineRule="auto" w:line="254"/>
      </w:pPr>
      <w:r>
        <w:rPr>
          <w:rFonts w:ascii="Arial" w:hAnsi="Arial" w:cs="Arial" w:eastAsia="Arial"/>
          <w:b/>
          <w:color w:val="C0392B"/>
          <w:sz w:val="25"/>
          <w:spacing w:val="20"/>
        </w:rPr>
        <w:t>PROVEN SUPPORT: CLEARED A CHAMBER OR A COMMITTEE</w:t>
      </w:r>
    </w:p>
    <w:p>
      <w:pPr>
        <w:widowControl/>
        <w:spacing w:before="0" w:after="40" w:lineRule="auto" w:line="247"/>
      </w:pPr>
      <w:r>
        <w:rPr>
          <w:rFonts w:ascii="Arial" w:hAnsi="Arial" w:cs="Arial" w:eastAsia="Arial"/>
          <w:b w:val="0"/>
          <w:i/>
          <w:color w:val="666666"/>
          <w:sz w:val="20"/>
        </w:rPr>
        <w:t>Each bill won a committee or floor majority before stalling.</w:t>
      </w:r>
    </w:p>
    <w:p>
      <w:pPr>
        <w:widowControl/>
        <w:spacing w:before="0" w:after="56" w:lineRule="auto" w:line="247"/>
        <w:jc w:val="both"/>
      </w:pPr>
      <w:r>
        <w:rPr>
          <w:rFonts w:ascii="Arial" w:hAnsi="Arial" w:cs="Arial" w:eastAsia="Arial"/>
          <w:b/>
          <w:color w:val="1A2D4F"/>
          <w:sz w:val="20"/>
        </w:rPr>
        <w:t>Measurement bills that won votes.</w:t>
      </w:r>
      <w:r>
        <w:rPr>
          <w:rFonts w:ascii="Arial" w:hAnsi="Arial" w:cs="Arial" w:eastAsia="Arial"/>
          <w:b w:val="0"/>
          <w:color w:val="444444"/>
          <w:sz w:val="20"/>
        </w:rPr>
        <w:t xml:space="preserve"> Competency-based education expansion (SB403, 2025) passed the Senate 21–0 and died in the second house. The social-emotional measurement bills, SB313 (2023) and SB314 (2025), cleared committee both times — carried by Senators Roberta Lange (D) and Lisa Krasner (R), both still serving — and died on the Senate floor, never on a recorded vote against them.</w:t>
      </w:r>
    </w:p>
    <w:p>
      <w:pPr>
        <w:widowControl/>
        <w:spacing w:before="0" w:after="56" w:lineRule="auto" w:line="247"/>
        <w:jc w:val="both"/>
      </w:pPr>
      <w:r>
        <w:rPr>
          <w:rFonts w:ascii="Arial" w:hAnsi="Arial" w:cs="Arial" w:eastAsia="Arial"/>
          <w:b/>
          <w:color w:val="1A2D4F"/>
          <w:sz w:val="20"/>
        </w:rPr>
        <w:t>Full rights for appointed trustees — 2025.</w:t>
      </w:r>
      <w:r>
        <w:rPr>
          <w:rFonts w:ascii="Arial" w:hAnsi="Arial" w:cs="Arial" w:eastAsia="Arial"/>
          <w:b w:val="0"/>
          <w:color w:val="444444"/>
          <w:sz w:val="20"/>
        </w:rPr>
        <w:t xml:space="preserve"> Upgrading AB175's four appointed nonvoting Clark County trustees to full voting rights with term limits passed the Assembly 24–18 and died in Senate Education; the base law, AB175 (2023), passed 29–11 and 16–4 after appointed-seat bills died in committee in 2019, 2021, and 2023. The idea moves further each cycle.</w:t>
      </w:r>
    </w:p>
    <w:p>
      <w:pPr>
        <w:widowControl/>
        <w:spacing w:before="100" w:after="40" w:lineRule="auto" w:line="254"/>
      </w:pPr>
      <w:r>
        <w:rPr>
          <w:rFonts w:ascii="Arial" w:hAnsi="Arial" w:cs="Arial" w:eastAsia="Arial"/>
          <w:b/>
          <w:color w:val="C0392B"/>
          <w:sz w:val="25"/>
          <w:spacing w:val="20"/>
        </w:rPr>
        <w:t>ALREADY LAW — AND THE OPENINGS AROUND IT</w:t>
      </w:r>
    </w:p>
    <w:p>
      <w:pPr>
        <w:widowControl/>
        <w:spacing w:before="0" w:after="40" w:lineRule="auto" w:line="247"/>
      </w:pPr>
      <w:r>
        <w:rPr>
          <w:rFonts w:ascii="Arial" w:hAnsi="Arial" w:cs="Arial" w:eastAsia="Arial"/>
          <w:b w:val="0"/>
          <w:i/>
          <w:color w:val="666666"/>
          <w:sz w:val="20"/>
        </w:rPr>
        <w:t>New law settles some ground — and shows where the Legislature keeps building.</w:t>
      </w:r>
    </w:p>
    <w:p>
      <w:pPr>
        <w:widowControl/>
        <w:spacing w:before="80" w:after="30" w:lineRule="auto" w:line="250"/>
      </w:pPr>
      <w:r>
        <w:rPr>
          <w:rFonts w:ascii="Arial" w:hAnsi="Arial" w:cs="Arial" w:eastAsia="Arial"/>
          <w:b/>
          <w:color w:val="2E4A78"/>
          <w:sz w:val="24"/>
        </w:rPr>
        <w:t>Recently settled ground (2025 session)</w:t>
      </w:r>
    </w:p>
    <w:p>
      <w:pPr>
        <w:widowControl/>
        <w:spacing w:before="0" w:after="56" w:lineRule="auto" w:line="247"/>
        <w:jc w:val="both"/>
      </w:pPr>
      <w:r>
        <w:rPr>
          <w:rFonts w:ascii="Arial" w:hAnsi="Arial" w:cs="Arial" w:eastAsia="Arial"/>
          <w:b w:val="0"/>
          <w:color w:val="444444"/>
          <w:sz w:val="20"/>
        </w:rPr>
        <w:t>The 2025 session funded hard-to-fill pay (AB398, 20–0 and 41–1), provisional out-of-state teacher hiring (AB49, 42–0 and 21–0), principal consequences plus a Public Education Oversight Board (SB460, 21–0 and 38–4), a single Read by Grade 3 trigger (SB278, 42–0 and 21–0), district cellphone policies (SB444, 42–0 and 21–0), an AI ban on counselor duties (AB406), school social workers where money allows (SB277, 38–1 and 15–5), $100 million in school-repair bonds (AB224, 41–1 and 21–0), cross-zone transfers (AB533), and the biennium funding act (SB500, 42–0 and 13–8). Bills restating these would duplicate fresh work and are unlikely to advance.</w:t>
      </w:r>
    </w:p>
    <w:p>
      <w:pPr>
        <w:widowControl/>
        <w:spacing w:before="80" w:after="30" w:lineRule="auto" w:line="250"/>
      </w:pPr>
      <w:r>
        <w:rPr>
          <w:rFonts w:ascii="Arial" w:hAnsi="Arial" w:cs="Arial" w:eastAsia="Arial"/>
          <w:b/>
          <w:color w:val="2E4A78"/>
          <w:sz w:val="24"/>
        </w:rPr>
        <w:t>Where the record points further</w:t>
      </w:r>
    </w:p>
    <w:p>
      <w:pPr>
        <w:widowControl/>
        <w:spacing w:before="0" w:after="56" w:lineRule="auto" w:line="247"/>
        <w:jc w:val="both"/>
      </w:pPr>
      <w:r>
        <w:rPr>
          <w:rFonts w:ascii="Arial" w:hAnsi="Arial" w:cs="Arial" w:eastAsia="Arial"/>
          <w:b w:val="0"/>
          <w:color w:val="444444"/>
          <w:sz w:val="20"/>
        </w:rPr>
        <w:t>The accountability lane is widening: AB517 (2023) ordered recurring legislative audits of the two biggest districts and the charter authority, 42–0 and 21–0, first audits due 2026, and SB460's oversight board gives future proposals a statutory home. Principal accountability is law twice over (SB292 of 2023, 21–0 and 39–3; SB460). Nevada's ratings already include a growth component — the failed bills changed its weight, not its existence — and testing has been trimmed twice (SB353 of 2021, capping test time, 42–0 and 21–0; SB9 of 2023, ending end-of-course finals). The teacher pipeline keeps passing near-unanimously: the Interstate Teacher Mobility Compact (SB442, 2023), paid teaching-pathway grants (AB515, AB428, 2023), provisional hiring (AB49), raise funding (SB231 of 2023, 21–0 and 41–1). Pre-K investment is solid precedent — the state grant program (SB84, 2019, 41–0 and 20–0), the early-literacy account (AB400, 2023), family engagement extended in 2025 (AB212, 38–4 and 21–0) — with seats growing through the budget. The funding machinery itself was rebuilt inside this record: SB543 (2019, 18–3 and 34–7), SB439 (2021), the mining tax routed to education (AB495, 2021, 28–14 and 16–5), the biennium acts (SB503, SB500), and the statutory Commission on School Funding charged with calculating full funding. AB289 (2019) removed automatic third-grade retention, 28–11 and 17–4 — no bill since has proposed reinstating it; when the 2020 special session cut the program's $31.4 million second-year transfer, the budget act listed it among the first accounts to restore.</w:t>
      </w:r>
    </w:p>
    <w:p>
      <w:pPr>
        <w:widowControl/>
        <w:spacing w:before="100" w:after="40" w:lineRule="auto" w:line="254"/>
      </w:pPr>
      <w:r>
        <w:rPr>
          <w:rFonts w:ascii="Arial" w:hAnsi="Arial" w:cs="Arial" w:eastAsia="Arial"/>
          <w:b/>
          <w:color w:val="C0392B"/>
          <w:sz w:val="25"/>
          <w:spacing w:val="20"/>
        </w:rPr>
        <w:t>LITTLE TRACTION YET: NEVER FILED OR STOPPED EARLY</w:t>
      </w:r>
    </w:p>
    <w:p>
      <w:pPr>
        <w:widowControl/>
        <w:spacing w:before="0" w:after="40" w:lineRule="auto" w:line="247"/>
      </w:pPr>
      <w:r>
        <w:rPr>
          <w:rFonts w:ascii="Arial" w:hAnsi="Arial" w:cs="Arial" w:eastAsia="Arial"/>
          <w:b w:val="0"/>
          <w:i/>
          <w:color w:val="666666"/>
          <w:sz w:val="20"/>
        </w:rPr>
        <w:t>No votes yet — never filed, never heard, or stopped early; unproven rather than closed.</w:t>
      </w:r>
    </w:p>
    <w:p>
      <w:pPr>
        <w:widowControl/>
        <w:spacing w:before="0" w:after="56" w:lineRule="auto" w:line="247"/>
        <w:jc w:val="both"/>
      </w:pPr>
      <w:r>
        <w:rPr>
          <w:rFonts w:ascii="Arial" w:hAnsi="Arial" w:cs="Arial" w:eastAsia="Arial"/>
          <w:b/>
          <w:color w:val="1A2D4F"/>
          <w:sz w:val="20"/>
        </w:rPr>
        <w:t>An outside audit of school spending.</w:t>
      </w:r>
      <w:r>
        <w:rPr>
          <w:rFonts w:ascii="Arial" w:hAnsi="Arial" w:cs="Arial" w:eastAsia="Arial"/>
          <w:b w:val="0"/>
          <w:color w:val="444444"/>
          <w:sz w:val="20"/>
        </w:rPr>
        <w:t xml:space="preserve"> Filed seven times, never a vote: AB146, AB296 (2019), AB108 (2021), AB149 (an Inspector General of Education), AB353 (2023), AB33, AB154 (2025), plus the oversight committee AB395 (2023). Assemblymember Brittney Miller (D), still serving, carried it four sessions; a Republican version died the same way. The traction is inside government: AB517's unanimous audits and the six-year outside-consultant reviews already in law, which a 2025 repeal bill failed to remove.</w:t>
      </w:r>
    </w:p>
    <w:p>
      <w:pPr>
        <w:widowControl/>
        <w:spacing w:before="0" w:after="56" w:lineRule="auto" w:line="247"/>
        <w:jc w:val="both"/>
      </w:pPr>
      <w:r>
        <w:rPr>
          <w:rFonts w:ascii="Arial" w:hAnsi="Arial" w:cs="Arial" w:eastAsia="Arial"/>
          <w:b/>
          <w:color w:val="1A2D4F"/>
          <w:sz w:val="20"/>
        </w:rPr>
        <w:t>Recess and instructional minutes.</w:t>
      </w:r>
      <w:r>
        <w:rPr>
          <w:rFonts w:ascii="Arial" w:hAnsi="Arial" w:cs="Arial" w:eastAsia="Arial"/>
          <w:b w:val="0"/>
          <w:color w:val="444444"/>
          <w:sz w:val="20"/>
        </w:rPr>
        <w:t xml:space="preserve"> AB53 (2025) — 20 minutes of daily outdoor recess in K-5 and a ban on withholding it — died in Assembly Education without a vote; the PE-content bill (SB182, 2021) and a fourth social-studies credit (AB228, 2023) also stalled. When leadership backs a content mandate it passes nearly unanimously (financial literacy, AB274 of 2023, 40–0 and 20–0; the 2025 cellphone rules).</w:t>
      </w:r>
    </w:p>
    <w:p>
      <w:pPr>
        <w:widowControl/>
        <w:spacing w:before="0" w:after="56" w:lineRule="auto" w:line="247"/>
        <w:jc w:val="both"/>
      </w:pPr>
      <w:r>
        <w:rPr>
          <w:rFonts w:ascii="Arial" w:hAnsi="Arial" w:cs="Arial" w:eastAsia="Arial"/>
          <w:b/>
          <w:color w:val="1A2D4F"/>
          <w:sz w:val="20"/>
        </w:rPr>
        <w:t>Growth-weighted ratings and the money guarantees.</w:t>
      </w:r>
      <w:r>
        <w:rPr>
          <w:rFonts w:ascii="Arial" w:hAnsi="Arial" w:cs="Arial" w:eastAsia="Arial"/>
          <w:b w:val="0"/>
          <w:color w:val="444444"/>
          <w:sz w:val="20"/>
        </w:rPr>
        <w:t xml:space="preserve"> SB351 (2025), double-weighting growth of the lowest-scoring pupils, died in Senate Education without a vote. AB459 (2023), requiring the education budget to keep pace with inflation plus enrollment, died in Ways and Means, as did its 2025 successor in Finance; SB58 (2025), widening pre-K grant eligibility, died in Senate Finance; the $45,000 minimum teacher salary (SB445, 2019, Republican-sponsored) and the grade-3 class-size cap (AB335, 2023) died in committee. Early-childhood offices failed on the Assembly floor in 2023 (AB113) and in committee in 2025 (SB82).</w:t>
      </w:r>
    </w:p>
    <w:p>
      <w:pPr>
        <w:widowControl/>
        <w:spacing w:before="0" w:after="56" w:lineRule="auto" w:line="247"/>
        <w:jc w:val="both"/>
      </w:pPr>
      <w:r>
        <w:rPr>
          <w:rFonts w:ascii="Arial" w:hAnsi="Arial" w:cs="Arial" w:eastAsia="Arial"/>
          <w:b/>
          <w:color w:val="1A2D4F"/>
          <w:sz w:val="20"/>
        </w:rPr>
        <w:t>Never filed at all.</w:t>
      </w:r>
      <w:r>
        <w:rPr>
          <w:rFonts w:ascii="Arial" w:hAnsi="Arial" w:cs="Arial" w:eastAsia="Arial"/>
          <w:b w:val="0"/>
          <w:color w:val="444444"/>
          <w:sz w:val="20"/>
        </w:rPr>
        <w:t xml:space="preserve"> No bill requires proof of learning benefit before districts buy classroom technology or limits early-grade screen time — the nearest bill, SB248 (2025), died in Senate Education; the ed-tech commission was abolished in 2023 (SB214). No bill proposes universal pre-K or touches superintendent pay ($485,000 contracts are signed by elected boards). The three-cueing ban (AB187, 2023), unconditional counselor staffing (AB298, 2025), and monthly mental-health workshops (AB374, 2025) died in committee.</w:t>
      </w:r>
    </w:p>
    <w:p>
      <w:pPr>
        <w:widowControl/>
        <w:spacing w:before="100" w:after="40" w:lineRule="auto" w:line="254"/>
      </w:pPr>
      <w:r>
        <w:rPr>
          <w:rFonts w:ascii="Arial" w:hAnsi="Arial" w:cs="Arial" w:eastAsia="Arial"/>
          <w:b/>
          <w:color w:val="C0392B"/>
          <w:sz w:val="25"/>
          <w:spacing w:val="20"/>
        </w:rPr>
        <w:t>MOMENTUM MAP: ACTIVE FRONTS AND QUIET FRONTS</w:t>
      </w:r>
    </w:p>
    <w:p>
      <w:pPr>
        <w:widowControl/>
        <w:spacing w:before="0" w:after="56" w:lineRule="auto" w:line="247"/>
        <w:jc w:val="both"/>
      </w:pPr>
      <w:r>
        <w:rPr>
          <w:rFonts w:ascii="Arial" w:hAnsi="Arial" w:cs="Arial" w:eastAsia="Arial"/>
          <w:b/>
          <w:color w:val="1A2D4F"/>
          <w:sz w:val="20"/>
        </w:rPr>
        <w:t>Active:</w:t>
      </w:r>
      <w:r>
        <w:rPr>
          <w:rFonts w:ascii="Arial" w:hAnsi="Arial" w:cs="Arial" w:eastAsia="Arial"/>
          <w:b w:val="0"/>
          <w:color w:val="444444"/>
          <w:sz w:val="20"/>
        </w:rPr>
        <w:t xml:space="preserve"> teacher pay and pipeline; administrator accountability; funding and facilities; measurement trimming — each funded or extended in recent sessions — and mental-health staffing frameworks (SB319 of 2019, 41–0 and 21–0; SB151 of 2021; SB277 of 2025). </w:t>
      </w:r>
      <w:r>
        <w:rPr>
          <w:rFonts w:ascii="Arial" w:hAnsi="Arial" w:cs="Arial" w:eastAsia="Arial"/>
          <w:b/>
          <w:color w:val="1A2D4F"/>
          <w:sz w:val="20"/>
        </w:rPr>
        <w:t>Quiet:</w:t>
      </w:r>
      <w:r>
        <w:rPr>
          <w:rFonts w:ascii="Arial" w:hAnsi="Arial" w:cs="Arial" w:eastAsia="Arial"/>
          <w:b w:val="0"/>
          <w:color w:val="444444"/>
          <w:sz w:val="20"/>
        </w:rPr>
        <w:t xml:space="preserve"> the outside-audit design (seven bills, no vote yet); recess and instructional-minute mandates; superintendent pay (no bill ever); universal pre-K as an entitlement; ed-tech purchasing standards (never filed); and unconditional staffing mandates, which die in committee while money-permitting versions pass.</w:t>
      </w:r>
    </w:p>
    <w:p>
      <w:pPr>
        <w:widowControl/>
        <w:spacing w:before="0" w:after="56" w:lineRule="auto" w:line="247"/>
        <w:jc w:val="both"/>
      </w:pPr>
      <w:r>
        <w:rPr>
          <w:rFonts w:ascii="Arial" w:hAnsi="Arial" w:cs="Arial" w:eastAsia="Arial"/>
          <w:b/>
          <w:color w:val="1A2D4F"/>
          <w:sz w:val="20"/>
        </w:rPr>
        <w:t>Chokepoints and carriers.</w:t>
      </w:r>
      <w:r>
        <w:rPr>
          <w:rFonts w:ascii="Arial" w:hAnsi="Arial" w:cs="Arial" w:eastAsia="Arial"/>
          <w:b w:val="0"/>
          <w:color w:val="444444"/>
          <w:sz w:val="20"/>
        </w:rPr>
        <w:t xml:space="preserve"> Education committees stop the most bills at the first stop (127), the money committees 40 — mostly bills with price tags — and Government Affairs 12, including most inspector-general designs. Cross-party sponsorship works: 28 of 55 two-party bills became law. Senator Scott Hammond (R, 31 bills) has left; Senators Marilyn Dondero Loop (D, 37), Carrie Buck (R, 31), Roberta Lange (D), and Lisa Krasner (R), and Assemblymembers Brittney Miller (D, the auditor file) and Selena Torres-Fossett (D, the teacher pipeline) still serve.</w:t>
      </w:r>
    </w:p>
    <w:p>
      <w:pPr>
        <w:widowControl/>
        <w:spacing w:before="100" w:after="40" w:lineRule="auto" w:line="254"/>
      </w:pPr>
      <w:r>
        <w:rPr>
          <w:rFonts w:ascii="Arial" w:hAnsi="Arial" w:cs="Arial" w:eastAsia="Arial"/>
          <w:b/>
          <w:color w:val="C0392B"/>
          <w:sz w:val="25"/>
          <w:spacing w:val="20"/>
        </w:rPr>
        <w:t>FEDERAL OVERLAP: WHAT WASHINGTON ALREADY COVERS</w:t>
      </w:r>
    </w:p>
    <w:p>
      <w:pPr>
        <w:widowControl/>
        <w:spacing w:before="0" w:after="40" w:lineRule="auto" w:line="247"/>
      </w:pPr>
      <w:r>
        <w:rPr>
          <w:rFonts w:ascii="Arial" w:hAnsi="Arial" w:cs="Arial" w:eastAsia="Arial"/>
          <w:b w:val="0"/>
          <w:i/>
          <w:color w:val="666666"/>
          <w:sz w:val="20"/>
        </w:rPr>
        <w:t>Where federal action covers or blocks a proposal — and where states are the only route.</w:t>
      </w:r>
    </w:p>
    <w:p>
      <w:pPr>
        <w:widowControl/>
        <w:spacing w:before="0" w:after="56" w:lineRule="auto" w:line="247"/>
        <w:jc w:val="both"/>
      </w:pPr>
      <w:r>
        <w:rPr>
          <w:rFonts w:ascii="Arial" w:hAnsi="Arial" w:cs="Arial" w:eastAsia="Arial"/>
          <w:b w:val="0"/>
          <w:color w:val="444444"/>
          <w:sz w:val="20"/>
        </w:rPr>
        <w:t>The federal Every Student Succeeds Act requires annual statewide testing in grades 3–8 and once in high school — dropping the statewide test would collide with it — but ESSA allows growth-based accountability, so designs like SB351 are permitted. Districts spending federal money already undergo annual federal single audits; the outside-IG designs extend, not duplicate, them. Pupil-data privacy is federal ground (FERPA, COPPA — where SB403 of 2019 built); no federal rule sets an efficacy standard for classroom technology. Head Start covers low-income pre-K; universal federal pre-K was proposed, never enacted. No federal recess, class-size, or teacher-salary mandate exists, though federal teacher loan-forgiveness programs do.</w:t>
      </w:r>
    </w:p>
    <w:p>
      <w:pPr>
        <w:widowControl/>
        <w:spacing w:before="40" w:after="0" w:lineRule="auto" w:line="254"/>
        <w:pBdr>
          <w:top w:val="single" w:sz="6" w:space="4" w:color="C8CDD6"/>
        </w:pBdr>
      </w:pPr>
      <w:r>
        <w:rPr>
          <w:rFonts w:ascii="Arial" w:hAnsi="Arial" w:cs="Arial" w:eastAsia="Arial"/>
          <w:b w:val="0"/>
          <w:color w:val="666666"/>
          <w:sz w:val="20"/>
          <w:spacing w:val="4"/>
        </w:rPr>
        <w:t>Full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