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0" w:after="20" w:lineRule="auto" w:line="254"/>
      </w:pPr>
      <w:r>
        <w:rPr>
          <w:rFonts w:ascii="Arial" w:hAnsi="Arial" w:cs="Arial" w:eastAsia="Arial"/>
          <w:b/>
          <w:color w:val="1A2D4F"/>
          <w:sz w:val="20"/>
          <w:spacing w:val="20"/>
        </w:rPr>
        <w:t>T H E   F O R U M</w:t>
      </w:r>
    </w:p>
    <w:p>
      <w:pPr>
        <w:widowControl/>
        <w:spacing w:before="0" w:after="120" w:lineRule="auto" w:line="254"/>
        <w:pBdr>
          <w:bottom w:val="single" w:sz="20" w:space="2" w:color="1A2D4F"/>
        </w:pBdr>
      </w:pPr>
    </w:p>
    <w:p>
      <w:pPr>
        <w:widowControl/>
        <w:spacing w:before="0" w:after="40" w:lineRule="auto" w:line="252"/>
      </w:pPr>
      <w:r>
        <w:rPr>
          <w:rFonts w:ascii="Arial" w:hAnsi="Arial" w:cs="Arial" w:eastAsia="Arial"/>
          <w:b/>
          <w:color w:val="1A2D4F"/>
          <w:sz w:val="36"/>
        </w:rPr>
        <w:t>Glossary — Health Care Costs Brief</w:t>
      </w:r>
    </w:p>
    <w:p>
      <w:pPr>
        <w:widowControl/>
        <w:spacing w:before="0" w:after="120" w:lineRule="auto" w:line="254"/>
      </w:pPr>
      <w:r>
        <w:rPr>
          <w:rFonts w:ascii="Arial" w:hAnsi="Arial" w:cs="Arial" w:eastAsia="Arial"/>
          <w:b w:val="0"/>
          <w:color w:val="444444"/>
          <w:sz w:val="20"/>
        </w:rPr>
        <w:t>Plain-language definitions for the terms, ideas, and acronyms used in "The Rising Cost of Living in Nevada: Health Care" (citizen brief v3.0).</w:t>
      </w:r>
    </w:p>
    <w:p>
      <w:pPr>
        <w:widowControl/>
        <w:spacing w:before="100" w:after="40" w:lineRule="auto" w:line="254"/>
      </w:pPr>
      <w:r>
        <w:rPr>
          <w:rFonts w:ascii="Arial" w:hAnsi="Arial" w:cs="Arial" w:eastAsia="Arial"/>
          <w:b/>
          <w:color w:val="C0392B"/>
          <w:sz w:val="25"/>
          <w:spacing w:val="20"/>
        </w:rPr>
        <w:t>HOW NEVADA LAWMAKING WORKS</w:t>
      </w:r>
    </w:p>
    <w:p>
      <w:pPr>
        <w:widowControl/>
        <w:spacing w:before="0" w:after="40" w:lineRule="auto" w:line="247"/>
      </w:pPr>
      <w:r>
        <w:rPr>
          <w:rFonts w:ascii="Arial" w:hAnsi="Arial" w:cs="Arial" w:eastAsia="Arial"/>
          <w:b w:val="0"/>
          <w:i/>
          <w:color w:val="666666"/>
          <w:sz w:val="20"/>
        </w:rPr>
        <w:t>Process terms that appear throughout the brief.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Session / special session.</w:t>
      </w:r>
      <w:r>
        <w:rPr>
          <w:rFonts w:ascii="Arial" w:hAnsi="Arial" w:cs="Arial" w:eastAsia="Arial"/>
          <w:b w:val="0"/>
          <w:color w:val="444444"/>
          <w:sz w:val="20"/>
        </w:rPr>
        <w:t xml:space="preserve"> The Nevada Legislature meets in a regular session of 120 days in odd-numbered years — 2019, 2021, 2023, and 2025 in this record. A bill that has not finished every step when the session ends is dead and must start over in a future session. A special session is a short extra meeting called for specific topics, like the November 2025 session that enacted the provider-shortage grant program.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Chambers.</w:t>
      </w:r>
      <w:r>
        <w:rPr>
          <w:rFonts w:ascii="Arial" w:hAnsi="Arial" w:cs="Arial" w:eastAsia="Arial"/>
          <w:b w:val="0"/>
          <w:color w:val="444444"/>
          <w:sz w:val="20"/>
        </w:rPr>
        <w:t xml:space="preserve"> The Legislature's two houses: the Assembly (42 members) and the Senate (21 members). A bill must pass both chambers to reach the governor.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Vote pairs such as "18–2 and 42–0."</w:t>
      </w:r>
      <w:r>
        <w:rPr>
          <w:rFonts w:ascii="Arial" w:hAnsi="Arial" w:cs="Arial" w:eastAsia="Arial"/>
          <w:b w:val="0"/>
          <w:color w:val="444444"/>
          <w:sz w:val="20"/>
        </w:rPr>
        <w:t xml:space="preserve"> The brief lists floor votes as yes–no tallies, one per chamber. 42–0 is a unanimous Assembly vote; 21–0 is a unanimous Senate vote.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Committee / first committee.</w:t>
      </w:r>
      <w:r>
        <w:rPr>
          <w:rFonts w:ascii="Arial" w:hAnsi="Arial" w:cs="Arial" w:eastAsia="Arial"/>
          <w:b w:val="0"/>
          <w:color w:val="444444"/>
          <w:sz w:val="20"/>
        </w:rPr>
        <w:t xml:space="preserve"> A small panel of lawmakers that studies a bill and votes on whether to send it onward. Every bill starts in a committee, and most bills that fail die there — in their "first committee" — without the full chamber ever voting.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Floor vote.</w:t>
      </w:r>
      <w:r>
        <w:rPr>
          <w:rFonts w:ascii="Arial" w:hAnsi="Arial" w:cs="Arial" w:eastAsia="Arial"/>
          <w:b w:val="0"/>
          <w:color w:val="444444"/>
          <w:sz w:val="20"/>
        </w:rPr>
        <w:t xml:space="preserve"> A vote of the full chamber. "Never lost a floor vote" means every defeat happened somewhere other than a chamber-wide vote.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Second house.</w:t>
      </w:r>
      <w:r>
        <w:rPr>
          <w:rFonts w:ascii="Arial" w:hAnsi="Arial" w:cs="Arial" w:eastAsia="Arial"/>
          <w:b w:val="0"/>
          <w:color w:val="444444"/>
          <w:sz w:val="20"/>
        </w:rPr>
        <w:t xml:space="preserve"> After passing the chamber where it started, a bill repeats the whole process — committee, then floor — in the other chamber.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Amendment / concurrence.</w:t>
      </w:r>
      <w:r>
        <w:rPr>
          <w:rFonts w:ascii="Arial" w:hAnsi="Arial" w:cs="Arial" w:eastAsia="Arial"/>
          <w:b w:val="0"/>
          <w:color w:val="444444"/>
          <w:sz w:val="20"/>
        </w:rPr>
        <w:t xml:space="preserve"> A change made to a bill along the way. When one chamber amends a bill, the other must vote to accept — "concur in" — the change before the bill can go to the governor. SB316 (2025) died awaiting exactly that final concurrence vote.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Veto.</w:t>
      </w:r>
      <w:r>
        <w:rPr>
          <w:rFonts w:ascii="Arial" w:hAnsi="Arial" w:cs="Arial" w:eastAsia="Arial"/>
          <w:b w:val="0"/>
          <w:color w:val="444444"/>
          <w:sz w:val="20"/>
        </w:rPr>
        <w:t xml:space="preserve"> The governor's rejection of a bill that passed both chambers. A vetoed bill does not become law unless two-thirds of each chamber votes to override.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Died at session's end / clock death.</w:t>
      </w:r>
      <w:r>
        <w:rPr>
          <w:rFonts w:ascii="Arial" w:hAnsi="Arial" w:cs="Arial" w:eastAsia="Arial"/>
          <w:b w:val="0"/>
          <w:color w:val="444444"/>
          <w:sz w:val="20"/>
        </w:rPr>
        <w:t xml:space="preserve"> The fate of a bill that cleared every vote taken but ran out of calendar before the final procedural step.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The money stage.</w:t>
      </w:r>
      <w:r>
        <w:rPr>
          <w:rFonts w:ascii="Arial" w:hAnsi="Arial" w:cs="Arial" w:eastAsia="Arial"/>
          <w:b w:val="0"/>
          <w:color w:val="444444"/>
          <w:sz w:val="20"/>
        </w:rPr>
        <w:t xml:space="preserve"> The budget review where bills that cost money must be funded. "Died at the money stage" means a bill stopped over its price tag, without a vote against the policy itself.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Sponsor.</w:t>
      </w:r>
      <w:r>
        <w:rPr>
          <w:rFonts w:ascii="Arial" w:hAnsi="Arial" w:cs="Arial" w:eastAsia="Arial"/>
          <w:b w:val="0"/>
          <w:color w:val="444444"/>
          <w:sz w:val="20"/>
        </w:rPr>
        <w:t xml:space="preserve"> The lawmaker or committee that formally introduces a bill. Cross-party sponsorship means named sponsors from both parties.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Statute.</w:t>
      </w:r>
      <w:r>
        <w:rPr>
          <w:rFonts w:ascii="Arial" w:hAnsi="Arial" w:cs="Arial" w:eastAsia="Arial"/>
          <w:b w:val="0"/>
          <w:color w:val="444444"/>
          <w:sz w:val="20"/>
        </w:rPr>
        <w:t xml:space="preserve"> A law on the books. "In statute" means an idea is already law.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Appropriation.</w:t>
      </w:r>
      <w:r>
        <w:rPr>
          <w:rFonts w:ascii="Arial" w:hAnsi="Arial" w:cs="Arial" w:eastAsia="Arial"/>
          <w:b w:val="0"/>
          <w:color w:val="444444"/>
          <w:sz w:val="20"/>
        </w:rPr>
        <w:t xml:space="preserve"> A bill or provision that sets aside state money for a purpose.</w:t>
      </w:r>
    </w:p>
    <w:p>
      <w:pPr>
        <w:widowControl/>
        <w:spacing w:before="100" w:after="40" w:lineRule="auto" w:line="254"/>
      </w:pPr>
      <w:r>
        <w:rPr>
          <w:rFonts w:ascii="Arial" w:hAnsi="Arial" w:cs="Arial" w:eastAsia="Arial"/>
          <w:b/>
          <w:color w:val="C0392B"/>
          <w:sz w:val="25"/>
          <w:spacing w:val="20"/>
        </w:rPr>
        <w:t>HEALTH CARE AND INSURANCE TERMS</w:t>
      </w:r>
    </w:p>
    <w:p>
      <w:pPr>
        <w:widowControl/>
        <w:spacing w:before="0" w:after="40" w:lineRule="auto" w:line="247"/>
      </w:pPr>
      <w:r>
        <w:rPr>
          <w:rFonts w:ascii="Arial" w:hAnsi="Arial" w:cs="Arial" w:eastAsia="Arial"/>
          <w:b w:val="0"/>
          <w:i/>
          <w:color w:val="666666"/>
          <w:sz w:val="20"/>
        </w:rPr>
        <w:t>Subject terms used in the brief's proposal sections.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Pharmacy benefit manager (PBM).</w:t>
      </w:r>
      <w:r>
        <w:rPr>
          <w:rFonts w:ascii="Arial" w:hAnsi="Arial" w:cs="Arial" w:eastAsia="Arial"/>
          <w:b w:val="0"/>
          <w:color w:val="444444"/>
          <w:sz w:val="20"/>
        </w:rPr>
        <w:t xml:space="preserve"> A middleman company hired by insurers to run prescription-drug benefits — deciding which drugs are covered, negotiating rebates from drugmakers, and setting what pharmacies get paid. PBM practices are a major driver of what patients pay at the counter.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Gag clause.</w:t>
      </w:r>
      <w:r>
        <w:rPr>
          <w:rFonts w:ascii="Arial" w:hAnsi="Arial" w:cs="Arial" w:eastAsia="Arial"/>
          <w:b w:val="0"/>
          <w:color w:val="444444"/>
          <w:sz w:val="20"/>
        </w:rPr>
        <w:t xml:space="preserve"> A contract term that barred pharmacists from volunteering that paying cash would be cheaper than using insurance; banned by AB141 (2019).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Rebate pass-through.</w:t>
      </w:r>
      <w:r>
        <w:rPr>
          <w:rFonts w:ascii="Arial" w:hAnsi="Arial" w:cs="Arial" w:eastAsia="Arial"/>
          <w:b w:val="0"/>
          <w:color w:val="444444"/>
          <w:sz w:val="20"/>
        </w:rPr>
        <w:t xml:space="preserve"> Requiring the discounts drugmakers pay to PBMs to be passed along to the payer — Nevada requires this for Medicaid (SB378, 2019).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340B.</w:t>
      </w:r>
      <w:r>
        <w:rPr>
          <w:rFonts w:ascii="Arial" w:hAnsi="Arial" w:cs="Arial" w:eastAsia="Arial"/>
          <w:b w:val="0"/>
          <w:color w:val="444444"/>
          <w:sz w:val="20"/>
        </w:rPr>
        <w:t xml:space="preserve"> A federal program letting hospitals and clinics that serve low-income patients buy drugs at deep discounts; AB434 (2023) protects those providers.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Prior authorization.</w:t>
      </w:r>
      <w:r>
        <w:rPr>
          <w:rFonts w:ascii="Arial" w:hAnsi="Arial" w:cs="Arial" w:eastAsia="Arial"/>
          <w:b w:val="0"/>
          <w:color w:val="444444"/>
          <w:sz w:val="20"/>
        </w:rPr>
        <w:t xml:space="preserve"> An insurer's requirement that a doctor get approval before a treatment or prescription is covered. AB463 (2025) sets rules and deadlines for it.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Step therapy.</w:t>
      </w:r>
      <w:r>
        <w:rPr>
          <w:rFonts w:ascii="Arial" w:hAnsi="Arial" w:cs="Arial" w:eastAsia="Arial"/>
          <w:b w:val="0"/>
          <w:color w:val="444444"/>
          <w:sz w:val="20"/>
        </w:rPr>
        <w:t xml:space="preserve"> An insurer's requirement that a patient try cheaper drugs first and "fail" on them before the prescribed one is covered; limited in 2023 (SB167, SB194).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Licensure compact.</w:t>
      </w:r>
      <w:r>
        <w:rPr>
          <w:rFonts w:ascii="Arial" w:hAnsi="Arial" w:cs="Arial" w:eastAsia="Arial"/>
          <w:b w:val="0"/>
          <w:color w:val="444444"/>
          <w:sz w:val="20"/>
        </w:rPr>
        <w:t xml:space="preserve"> An agreement among states to honor each other's professional licenses, so a nurse or therapist licensed in one member state can practice in the others. The </w:t>
      </w:r>
      <w:r>
        <w:rPr>
          <w:rFonts w:ascii="Arial" w:hAnsi="Arial" w:cs="Arial" w:eastAsia="Arial"/>
          <w:b/>
          <w:color w:val="1A2D4F"/>
          <w:sz w:val="20"/>
        </w:rPr>
        <w:t>Nurse Licensure Compact</w:t>
      </w:r>
      <w:r>
        <w:rPr>
          <w:rFonts w:ascii="Arial" w:hAnsi="Arial" w:cs="Arial" w:eastAsia="Arial"/>
          <w:b w:val="0"/>
          <w:color w:val="444444"/>
          <w:sz w:val="20"/>
        </w:rPr>
        <w:t xml:space="preserve"> is the nursing version — the one compact Nevada has not joined.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Credentialing.</w:t>
      </w:r>
      <w:r>
        <w:rPr>
          <w:rFonts w:ascii="Arial" w:hAnsi="Arial" w:cs="Arial" w:eastAsia="Arial"/>
          <w:b w:val="0"/>
          <w:color w:val="444444"/>
          <w:sz w:val="20"/>
        </w:rPr>
        <w:t xml:space="preserve"> An insurer's process for vetting and approving a provider to join its network. Slow credentialing keeps new providers from seeing insured patients for months.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Network / panel.</w:t>
      </w:r>
      <w:r>
        <w:rPr>
          <w:rFonts w:ascii="Arial" w:hAnsi="Arial" w:cs="Arial" w:eastAsia="Arial"/>
          <w:b w:val="0"/>
          <w:color w:val="444444"/>
          <w:sz w:val="20"/>
        </w:rPr>
        <w:t xml:space="preserve"> The set of providers under contract with an insurer. A provider whose "panel is full" is not accepting new patients; no Nevada law defines when a panel counts as full.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Out-of-network.</w:t>
      </w:r>
      <w:r>
        <w:rPr>
          <w:rFonts w:ascii="Arial" w:hAnsi="Arial" w:cs="Arial" w:eastAsia="Arial"/>
          <w:b w:val="0"/>
          <w:color w:val="444444"/>
          <w:sz w:val="20"/>
        </w:rPr>
        <w:t xml:space="preserve"> A provider with no contract with the patient's insurer — the source of the highest surprise bills.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Arbitration.</w:t>
      </w:r>
      <w:r>
        <w:rPr>
          <w:rFonts w:ascii="Arial" w:hAnsi="Arial" w:cs="Arial" w:eastAsia="Arial"/>
          <w:b w:val="0"/>
          <w:color w:val="444444"/>
          <w:sz w:val="20"/>
        </w:rPr>
        <w:t xml:space="preserve"> A neutral process that settles a payment dispute between insurer and provider outside court; SB497 (2023) built Nevada's system for emergency-billing disputes. </w:t>
      </w:r>
      <w:r>
        <w:rPr>
          <w:rFonts w:ascii="Arial" w:hAnsi="Arial" w:cs="Arial" w:eastAsia="Arial"/>
          <w:b/>
          <w:color w:val="1A2D4F"/>
          <w:sz w:val="20"/>
        </w:rPr>
        <w:t>Forced arbitration</w:t>
      </w:r>
      <w:r>
        <w:rPr>
          <w:rFonts w:ascii="Arial" w:hAnsi="Arial" w:cs="Arial" w:eastAsia="Arial"/>
          <w:b w:val="0"/>
          <w:color w:val="444444"/>
          <w:sz w:val="20"/>
        </w:rPr>
        <w:t xml:space="preserve"> — the vetoed-bill subject — is a policy clause that strips the patient's right to sue.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ER / urgent care.</w:t>
      </w:r>
      <w:r>
        <w:rPr>
          <w:rFonts w:ascii="Arial" w:hAnsi="Arial" w:cs="Arial" w:eastAsia="Arial"/>
          <w:b w:val="0"/>
          <w:color w:val="444444"/>
          <w:sz w:val="20"/>
        </w:rPr>
        <w:t xml:space="preserve"> Emergency room versus walk-in clinic. ER visits carry hospital-level charges even for minor problems, which is why participants proposed splitting the billing.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Telehealth.</w:t>
      </w:r>
      <w:r>
        <w:rPr>
          <w:rFonts w:ascii="Arial" w:hAnsi="Arial" w:cs="Arial" w:eastAsia="Arial"/>
          <w:b w:val="0"/>
          <w:color w:val="444444"/>
          <w:sz w:val="20"/>
        </w:rPr>
        <w:t xml:space="preserve"> Medical care delivered by video or phone; settled Nevada law since 2021.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Reimbursement rate.</w:t>
      </w:r>
      <w:r>
        <w:rPr>
          <w:rFonts w:ascii="Arial" w:hAnsi="Arial" w:cs="Arial" w:eastAsia="Arial"/>
          <w:b w:val="0"/>
          <w:color w:val="444444"/>
          <w:sz w:val="20"/>
        </w:rPr>
        <w:t xml:space="preserve"> What an insurer or government program pays a provider for a service. Low rates are why some providers do not accept Medicaid patients.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Provider-assessment mechanism.</w:t>
      </w:r>
      <w:r>
        <w:rPr>
          <w:rFonts w:ascii="Arial" w:hAnsi="Arial" w:cs="Arial" w:eastAsia="Arial"/>
          <w:b w:val="0"/>
          <w:color w:val="444444"/>
          <w:sz w:val="20"/>
        </w:rPr>
        <w:t xml:space="preserve"> A fee collected from providers and used to draw down federal matching money, funding higher Medicaid payments without state general-fund dollars (SB435, 2023).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Medicaid.</w:t>
      </w:r>
      <w:r>
        <w:rPr>
          <w:rFonts w:ascii="Arial" w:hAnsi="Arial" w:cs="Arial" w:eastAsia="Arial"/>
          <w:b w:val="0"/>
          <w:color w:val="444444"/>
          <w:sz w:val="20"/>
        </w:rPr>
        <w:t xml:space="preserve"> The state-federal insurance program for lower-income Nevadans; the state sets many of its rules, which is why so many bills target it. </w:t>
      </w:r>
      <w:r>
        <w:rPr>
          <w:rFonts w:ascii="Arial" w:hAnsi="Arial" w:cs="Arial" w:eastAsia="Arial"/>
          <w:b/>
          <w:color w:val="1A2D4F"/>
          <w:sz w:val="20"/>
        </w:rPr>
        <w:t>CHIP</w:t>
      </w:r>
      <w:r>
        <w:rPr>
          <w:rFonts w:ascii="Arial" w:hAnsi="Arial" w:cs="Arial" w:eastAsia="Arial"/>
          <w:b w:val="0"/>
          <w:color w:val="444444"/>
          <w:sz w:val="20"/>
        </w:rPr>
        <w:t xml:space="preserve"> is its companion program for children.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Medicare.</w:t>
      </w:r>
      <w:r>
        <w:rPr>
          <w:rFonts w:ascii="Arial" w:hAnsi="Arial" w:cs="Arial" w:eastAsia="Arial"/>
          <w:b w:val="0"/>
          <w:color w:val="444444"/>
          <w:sz w:val="20"/>
        </w:rPr>
        <w:t xml:space="preserve"> The federal insurance program for people 65 and over and some people with disabilities. Its payment rates and drug prices are set federally — no Nevada bill can change them.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Tricare.</w:t>
      </w:r>
      <w:r>
        <w:rPr>
          <w:rFonts w:ascii="Arial" w:hAnsi="Arial" w:cs="Arial" w:eastAsia="Arial"/>
          <w:b w:val="0"/>
          <w:color w:val="444444"/>
          <w:sz w:val="20"/>
        </w:rPr>
        <w:t xml:space="preserve"> The federal health program for military members, retirees, and their families.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Public Option.</w:t>
      </w:r>
      <w:r>
        <w:rPr>
          <w:rFonts w:ascii="Arial" w:hAnsi="Arial" w:cs="Arial" w:eastAsia="Arial"/>
          <w:b w:val="0"/>
          <w:color w:val="444444"/>
          <w:sz w:val="20"/>
        </w:rPr>
        <w:t xml:space="preserve"> A state-designed health plan any Nevadan can buy (SB420, 2021).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Any-group pooling.</w:t>
      </w:r>
      <w:r>
        <w:rPr>
          <w:rFonts w:ascii="Arial" w:hAnsi="Arial" w:cs="Arial" w:eastAsia="Arial"/>
          <w:b w:val="0"/>
          <w:color w:val="444444"/>
          <w:sz w:val="20"/>
        </w:rPr>
        <w:t xml:space="preserve"> Letting small businesses or unrelated groups band together to buy insurance at large-group prices — the design participants sketched that has never been filed.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Self-funded employer plan.</w:t>
      </w:r>
      <w:r>
        <w:rPr>
          <w:rFonts w:ascii="Arial" w:hAnsi="Arial" w:cs="Arial" w:eastAsia="Arial"/>
          <w:b w:val="0"/>
          <w:color w:val="444444"/>
          <w:sz w:val="20"/>
        </w:rPr>
        <w:t xml:space="preserve"> A plan in which the employer pays claims itself and an insurer only administers the paperwork. Most large-employer coverage works this way — and it is beyond state regulation (see ERISA below).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Health Service Corps.</w:t>
      </w:r>
      <w:r>
        <w:rPr>
          <w:rFonts w:ascii="Arial" w:hAnsi="Arial" w:cs="Arial" w:eastAsia="Arial"/>
          <w:b w:val="0"/>
          <w:color w:val="444444"/>
          <w:sz w:val="20"/>
        </w:rPr>
        <w:t xml:space="preserve"> Nevada's loan-repayment program for providers who commit to practicing in underserved areas.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Residency.</w:t>
      </w:r>
      <w:r>
        <w:rPr>
          <w:rFonts w:ascii="Arial" w:hAnsi="Arial" w:cs="Arial" w:eastAsia="Arial"/>
          <w:b w:val="0"/>
          <w:color w:val="444444"/>
          <w:sz w:val="20"/>
        </w:rPr>
        <w:t xml:space="preserve"> The years of supervised hospital training after medical school. Residency slots are the bottleneck for growing the doctor supply, which is why Nevada created residency grants (SB350, 2023).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Foreign medical graduates.</w:t>
      </w:r>
      <w:r>
        <w:rPr>
          <w:rFonts w:ascii="Arial" w:hAnsi="Arial" w:cs="Arial" w:eastAsia="Arial"/>
          <w:b w:val="0"/>
          <w:color w:val="444444"/>
          <w:sz w:val="20"/>
        </w:rPr>
        <w:t xml:space="preserve"> Doctors trained abroad; SB124 (2025) eased their path to full Nevada licensure.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Autism behavior technicians.</w:t>
      </w:r>
      <w:r>
        <w:rPr>
          <w:rFonts w:ascii="Arial" w:hAnsi="Arial" w:cs="Arial" w:eastAsia="Arial"/>
          <w:b w:val="0"/>
          <w:color w:val="444444"/>
          <w:sz w:val="20"/>
        </w:rPr>
        <w:t xml:space="preserve"> The front-line providers of behavioral therapy for autistic children; their Medicaid rates were raised in 2021 (SB96).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Dental therapy.</w:t>
      </w:r>
      <w:r>
        <w:rPr>
          <w:rFonts w:ascii="Arial" w:hAnsi="Arial" w:cs="Arial" w:eastAsia="Arial"/>
          <w:b w:val="0"/>
          <w:color w:val="444444"/>
          <w:sz w:val="20"/>
        </w:rPr>
        <w:t xml:space="preserve"> A licensed midlevel dental profession — more training than a hygienist, less than a dentist — created in Nevada in 2019.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Medical-debt collection.</w:t>
      </w:r>
      <w:r>
        <w:rPr>
          <w:rFonts w:ascii="Arial" w:hAnsi="Arial" w:cs="Arial" w:eastAsia="Arial"/>
          <w:b w:val="0"/>
          <w:color w:val="444444"/>
          <w:sz w:val="20"/>
        </w:rPr>
        <w:t xml:space="preserve"> The lawsuits, garnishments, and credit tactics used to collect unpaid medical bills; bills limiting them were vetoed.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Nevada Health Authority.</w:t>
      </w:r>
      <w:r>
        <w:rPr>
          <w:rFonts w:ascii="Arial" w:hAnsi="Arial" w:cs="Arial" w:eastAsia="Arial"/>
          <w:b w:val="0"/>
          <w:color w:val="444444"/>
          <w:sz w:val="20"/>
        </w:rPr>
        <w:t xml:space="preserve"> The new state agency that consolidates Nevada's public health-insurance programs (SB494, 2025).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Recruitment grant program.</w:t>
      </w:r>
      <w:r>
        <w:rPr>
          <w:rFonts w:ascii="Arial" w:hAnsi="Arial" w:cs="Arial" w:eastAsia="Arial"/>
          <w:b w:val="0"/>
          <w:color w:val="444444"/>
          <w:sz w:val="20"/>
        </w:rPr>
        <w:t xml:space="preserve"> The Statewide Health Care Access and Recruitment Grant Program — competitive grants aimed at critical provider shortages, enacted as SB5 of the 2025 special session.</w:t>
      </w:r>
    </w:p>
    <w:p>
      <w:pPr>
        <w:widowControl/>
        <w:spacing w:before="100" w:after="40" w:lineRule="auto" w:line="254"/>
      </w:pPr>
      <w:r>
        <w:rPr>
          <w:rFonts w:ascii="Arial" w:hAnsi="Arial" w:cs="Arial" w:eastAsia="Arial"/>
          <w:b/>
          <w:color w:val="C0392B"/>
          <w:sz w:val="25"/>
          <w:spacing w:val="20"/>
        </w:rPr>
        <w:t>FEDERAL PROGRAMS AND TERMS</w:t>
      </w:r>
    </w:p>
    <w:p>
      <w:pPr>
        <w:widowControl/>
        <w:spacing w:before="0" w:after="40" w:lineRule="auto" w:line="247"/>
      </w:pPr>
      <w:r>
        <w:rPr>
          <w:rFonts w:ascii="Arial" w:hAnsi="Arial" w:cs="Arial" w:eastAsia="Arial"/>
          <w:b w:val="0"/>
          <w:i/>
          <w:color w:val="666666"/>
          <w:sz w:val="20"/>
        </w:rPr>
        <w:t>Terms from the brief's federal-overlap section.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No Surprises Act.</w:t>
      </w:r>
      <w:r>
        <w:rPr>
          <w:rFonts w:ascii="Arial" w:hAnsi="Arial" w:cs="Arial" w:eastAsia="Arial"/>
          <w:b w:val="0"/>
          <w:color w:val="444444"/>
          <w:sz w:val="20"/>
        </w:rPr>
        <w:t xml:space="preserve"> The federal law, in force since 2022, that protects patients nationwide from surprise out-of-network emergency bills.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Medicare-negotiated prices.</w:t>
      </w:r>
      <w:r>
        <w:rPr>
          <w:rFonts w:ascii="Arial" w:hAnsi="Arial" w:cs="Arial" w:eastAsia="Arial"/>
          <w:b w:val="0"/>
          <w:color w:val="444444"/>
          <w:sz w:val="20"/>
        </w:rPr>
        <w:t xml:space="preserve"> Drug prices the federal government negotiates directly with manufacturers under a 2022 law; the first negotiated prices take effect in 2026. Nevada's vetoed price caps were pegged to these prices.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Federal prior-authorization rules.</w:t>
      </w:r>
      <w:r>
        <w:rPr>
          <w:rFonts w:ascii="Arial" w:hAnsi="Arial" w:cs="Arial" w:eastAsia="Arial"/>
          <w:b w:val="0"/>
          <w:color w:val="444444"/>
          <w:sz w:val="20"/>
        </w:rPr>
        <w:t xml:space="preserve"> Rules finalized in 2024 that impose decision deadlines on Medicare Advantage, Medicaid, and exchange plans through 2027; AB463 covers the state-regulated plans these rules do not reach.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ERISA.</w:t>
      </w:r>
      <w:r>
        <w:rPr>
          <w:rFonts w:ascii="Arial" w:hAnsi="Arial" w:cs="Arial" w:eastAsia="Arial"/>
          <w:b w:val="0"/>
          <w:color w:val="444444"/>
          <w:sz w:val="20"/>
        </w:rPr>
        <w:t xml:space="preserve"> The federal Employee Retirement Income Security Act, which puts self-funded employer health plans under federal — not state — regulation. State bills cannot reach the employer coverage most workers have.</w:t>
      </w:r>
    </w:p>
    <w:p>
      <w:pPr>
        <w:widowControl/>
        <w:spacing w:before="100" w:after="40" w:lineRule="auto" w:line="254"/>
      </w:pPr>
      <w:r>
        <w:rPr>
          <w:rFonts w:ascii="Arial" w:hAnsi="Arial" w:cs="Arial" w:eastAsia="Arial"/>
          <w:b/>
          <w:color w:val="C0392B"/>
          <w:sz w:val="25"/>
          <w:spacing w:val="20"/>
        </w:rPr>
        <w:t>ACRONYMS AND ABBREVIATIONS</w:t>
      </w:r>
    </w:p>
    <w:p>
      <w:pPr>
        <w:widowControl/>
        <w:spacing w:before="0" w:after="40" w:lineRule="auto" w:line="247"/>
      </w:pPr>
      <w:r>
        <w:rPr>
          <w:rFonts w:ascii="Arial" w:hAnsi="Arial" w:cs="Arial" w:eastAsia="Arial"/>
          <w:b w:val="0"/>
          <w:i/>
          <w:color w:val="666666"/>
          <w:sz w:val="20"/>
        </w:rPr>
        <w:t>Every shortened form used in the brief.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AB / SB.</w:t>
      </w:r>
      <w:r>
        <w:rPr>
          <w:rFonts w:ascii="Arial" w:hAnsi="Arial" w:cs="Arial" w:eastAsia="Arial"/>
          <w:b w:val="0"/>
          <w:color w:val="444444"/>
          <w:sz w:val="20"/>
        </w:rPr>
        <w:t xml:space="preserve"> Assembly Bill / Senate Bill — the chamber a bill started in, plus its number. Numbering restarts every session, so SB497 (2023) and SB497 (2025) are different bills.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D / R.</w:t>
      </w:r>
      <w:r>
        <w:rPr>
          <w:rFonts w:ascii="Arial" w:hAnsi="Arial" w:cs="Arial" w:eastAsia="Arial"/>
          <w:b w:val="0"/>
          <w:color w:val="444444"/>
          <w:sz w:val="20"/>
        </w:rPr>
        <w:t xml:space="preserve"> Democrat / Republican, shown after a legislator's name.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PBM.</w:t>
      </w:r>
      <w:r>
        <w:rPr>
          <w:rFonts w:ascii="Arial" w:hAnsi="Arial" w:cs="Arial" w:eastAsia="Arial"/>
          <w:b w:val="0"/>
          <w:color w:val="444444"/>
          <w:sz w:val="20"/>
        </w:rPr>
        <w:t xml:space="preserve"> Pharmacy benefit manager.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ER.</w:t>
      </w:r>
      <w:r>
        <w:rPr>
          <w:rFonts w:ascii="Arial" w:hAnsi="Arial" w:cs="Arial" w:eastAsia="Arial"/>
          <w:b w:val="0"/>
          <w:color w:val="444444"/>
          <w:sz w:val="20"/>
        </w:rPr>
        <w:t xml:space="preserve"> Emergency room.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EMS.</w:t>
      </w:r>
      <w:r>
        <w:rPr>
          <w:rFonts w:ascii="Arial" w:hAnsi="Arial" w:cs="Arial" w:eastAsia="Arial"/>
          <w:b w:val="0"/>
          <w:color w:val="444444"/>
          <w:sz w:val="20"/>
        </w:rPr>
        <w:t xml:space="preserve"> Emergency medical services — ambulance and paramedic personnel.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CHIP.</w:t>
      </w:r>
      <w:r>
        <w:rPr>
          <w:rFonts w:ascii="Arial" w:hAnsi="Arial" w:cs="Arial" w:eastAsia="Arial"/>
          <w:b w:val="0"/>
          <w:color w:val="444444"/>
          <w:sz w:val="20"/>
        </w:rPr>
        <w:t xml:space="preserve"> Children's Health Insurance Program.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HHS.</w:t>
      </w:r>
      <w:r>
        <w:rPr>
          <w:rFonts w:ascii="Arial" w:hAnsi="Arial" w:cs="Arial" w:eastAsia="Arial"/>
          <w:b w:val="0"/>
          <w:color w:val="444444"/>
          <w:sz w:val="20"/>
        </w:rPr>
        <w:t xml:space="preserve"> Health and Human Services, as in the Senate and Assembly HHS committees.</w:t>
      </w:r>
    </w:p>
    <w:p>
      <w:pPr>
        <w:keepLines/>
        <w:widowControl/>
        <w:spacing w:before="0" w:after="56" w:lineRule="auto" w:line="247"/>
        <w:jc w:val="both"/>
      </w:pPr>
      <w:r>
        <w:rPr>
          <w:rFonts w:ascii="Arial" w:hAnsi="Arial" w:cs="Arial" w:eastAsia="Arial"/>
          <w:b/>
          <w:color w:val="1A2D4F"/>
          <w:sz w:val="20"/>
        </w:rPr>
        <w:t>ERISA.</w:t>
      </w:r>
      <w:r>
        <w:rPr>
          <w:rFonts w:ascii="Arial" w:hAnsi="Arial" w:cs="Arial" w:eastAsia="Arial"/>
          <w:b w:val="0"/>
          <w:color w:val="444444"/>
          <w:sz w:val="20"/>
        </w:rPr>
        <w:t xml:space="preserve"> Employee Retirement Income Security Act (federal).</w:t>
      </w:r>
    </w:p>
    <w:p>
      <w:pPr>
        <w:widowControl/>
        <w:spacing w:before="40" w:after="0" w:lineRule="auto" w:line="254"/>
        <w:pBdr>
          <w:top w:val="single" w:sz="6" w:space="4" w:color="C8CDD6"/>
        </w:pBdr>
      </w:pPr>
      <w:r>
        <w:rPr>
          <w:rFonts w:ascii="Arial" w:hAnsi="Arial" w:cs="Arial" w:eastAsia="Arial"/>
          <w:b w:val="0"/>
          <w:color w:val="666666"/>
          <w:sz w:val="20"/>
          <w:spacing w:val="4"/>
        </w:rPr>
        <w:t>Companion glossary to the citizen brief v3.0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