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Rule="auto" w:line="254"/>
      </w:pPr>
      <w:r>
        <w:rPr>
          <w:rFonts w:ascii="Arial" w:hAnsi="Arial" w:cs="Arial" w:eastAsia="Arial"/>
          <w:b/>
          <w:color w:val="1A2D4F"/>
          <w:sz w:val="20"/>
          <w:spacing w:val="20"/>
        </w:rPr>
        <w:t>T H E   F O R U M</w:t>
      </w:r>
    </w:p>
    <w:p>
      <w:pPr>
        <w:widowControl/>
        <w:spacing w:before="0" w:after="120" w:lineRule="auto" w:line="254"/>
        <w:pBdr>
          <w:bottom w:val="single" w:sz="20" w:space="2" w:color="1A2D4F"/>
        </w:pBdr>
      </w:pPr>
    </w:p>
    <w:p>
      <w:pPr>
        <w:widowControl/>
        <w:spacing w:before="0" w:after="40" w:lineRule="auto" w:line="252"/>
      </w:pPr>
      <w:r>
        <w:rPr>
          <w:rFonts w:ascii="Arial" w:hAnsi="Arial" w:cs="Arial" w:eastAsia="Arial"/>
          <w:b/>
          <w:color w:val="1A2D4F"/>
          <w:sz w:val="36"/>
        </w:rPr>
        <w:t>Glossary — K-12 Outcomes Brief</w:t>
      </w:r>
    </w:p>
    <w:p>
      <w:pPr>
        <w:widowControl/>
        <w:spacing w:before="0" w:after="120" w:lineRule="auto" w:line="254"/>
      </w:pPr>
      <w:r>
        <w:rPr>
          <w:rFonts w:ascii="Arial" w:hAnsi="Arial" w:cs="Arial" w:eastAsia="Arial"/>
          <w:b w:val="0"/>
          <w:color w:val="444444"/>
          <w:sz w:val="20"/>
        </w:rPr>
        <w:t>Plain-language definitions for the terms, ideas, and acronyms used in "K-12 Educational Outcomes in Nevada" (citizen brief v3.0).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HOW NEVADA LAWMAKING WORKS</w:t>
      </w:r>
    </w:p>
    <w:p>
      <w:pPr>
        <w:widowControl/>
        <w:spacing w:before="0" w:after="40" w:lineRule="auto" w:line="247"/>
      </w:pPr>
      <w:r>
        <w:rPr>
          <w:rFonts w:ascii="Arial" w:hAnsi="Arial" w:cs="Arial" w:eastAsia="Arial"/>
          <w:b w:val="0"/>
          <w:i/>
          <w:color w:val="666666"/>
          <w:sz w:val="20"/>
        </w:rPr>
        <w:t>Process terms that appear throughout the brief.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Session / special session.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Nevada Legislature meets in a regular session of 120 days in odd-numbered years — 2019, 2021, 2023, and 2025 in this record. A bill that has not finished every step when the session ends is dead and must start over in a future session. A special session is a short extra meeting called for specific topics, like the 2020 session that cut budgets during the pandemic.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Chambers.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Legislature's two houses: the Assembly (42 members) and the Senate (21 members). A bill must pass both chambers to reach the governor.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Vote pairs such as "40–0 and 21–0."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brief lists floor votes as yes–no tallies, one per chamber. 42–0 is a unanimous Assembly vote; 21–0 is a unanimous Senate vote.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Committee / first committee.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small panel of lawmakers that studies a bill and votes on whether to send it onward. Every bill starts in a committee, and most bills that fail die there — in their "first committee" — without the full chamber ever voting.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Money committees.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Assembly Ways and Means and Senate Finance — the committees that review anything costing money. Bills with price tags routinely stop there without a vote against the policy itself.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Floor vote.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vote of the full chamber.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Second house.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After passing the chamber where it started, a bill repeats the whole process — committee, then floor — in the other chamber.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Concurrence.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When one chamber amends a bill, the other must vote to accept — "concur in" — the change before the bill can go to the governor. AB386 (2025) died awaiting exactly that final vote.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Veto.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governor's rejection of a bill that passed both chambers. A vetoed bill does not become law unless two-thirds of each chamber votes to override.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Sponsor.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lawmaker or committee that formally introduces a bill. Cross-party sponsorship means named sponsors from both parties — more common in education than in any other subject The Forum has mapped.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Biennium funding act.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education budget bill covering the two years between sessions (SB503 in 2023, SB500 in 2025).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Statutory.</w:t>
      </w:r>
      <w:r>
        <w:rPr>
          <w:rFonts w:ascii="Arial" w:hAnsi="Arial" w:cs="Arial" w:eastAsia="Arial"/>
          <w:b w:val="0"/>
          <w:color w:val="444444"/>
          <w:sz w:val="20"/>
        </w:rPr>
        <w:t xml:space="preserve"> Written into state law — a "statutory home" is a permanent place in statute for a function or board.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EDUCATION AND SCHOOL-SYSTEM TERMS</w:t>
      </w:r>
    </w:p>
    <w:p>
      <w:pPr>
        <w:widowControl/>
        <w:spacing w:before="0" w:after="40" w:lineRule="auto" w:line="247"/>
      </w:pPr>
      <w:r>
        <w:rPr>
          <w:rFonts w:ascii="Arial" w:hAnsi="Arial" w:cs="Arial" w:eastAsia="Arial"/>
          <w:b w:val="0"/>
          <w:i/>
          <w:color w:val="666666"/>
          <w:sz w:val="20"/>
        </w:rPr>
        <w:t>Subject terms used in the brief's proposal sections.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Pupil-Centered Funding Plan / Nevada Plan.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Nevada's school funding formula since 2019 (SB543), which attaches dollars to each pupil with weights for need — replacing the 1967-era Nevada Plan.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Commission on School Funding.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statutory body charged with calculating what fully funding Nevada schools would take.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Mining tax routed to education.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2021 tax on gold and silver mining (AB495) whose proceeds go to schools.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Read by Grade 3.</w:t>
      </w:r>
      <w:r>
        <w:rPr>
          <w:rFonts w:ascii="Arial" w:hAnsi="Arial" w:cs="Arial" w:eastAsia="Arial"/>
          <w:b w:val="0"/>
          <w:color w:val="444444"/>
          <w:sz w:val="20"/>
        </w:rPr>
        <w:t xml:space="preserve"> Nevada's early-literacy program: pupils are assessed through third grade, and those reading far behind get mandatory intensive help. SB278 (2025) made the statewide assessment its sole trigger.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Retention.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Holding a pupil back to repeat a grade. Automatic third-grade retention was removed in 2019 (AB289) and no bill has proposed restoring it.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Statewide assessment.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standardized test every Nevada pupil takes; the anchor for school ratings and the Read by Grade 3 trigger.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School star ratings.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Nevada's one-to-five-star report card for each school, built from test results and other measures.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Growth vs. proficiency.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Two ways to judge schools: how much pupils improve over a year (growth) versus how many clear a fixed bar (proficiency). Nevada's ratings already include a growth component; SB351 would have doubled its weight for the lowest-scoring pupils.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Competency-based education.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Letting pupils advance by demonstrating mastery rather than by hours spent in a seat (SB403, 2025).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Social-emotional measurement.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Tracking skills like self-management and relationships alongside academics (SB313, SB314).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End-of-course finals.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statewide exams once required to finish certain high-school courses; ended in 2023 (SB9).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Charter authority.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State Public Charter School Authority, which oversees charter schools and is covered by AB517's recurring audits.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Inspector General (IG).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An independent watchdog office with power to investigate an agency from outside — the never-heard design for auditing school spending.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Six-year outside-consultant reviews.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financial reviews of districts by outside consultants that existing law already requires every six years.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Public Education Oversight Board.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new statewide accountability board created by SB460 (2025).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Appointed nonvoting trustees.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School-board members appointed rather than elected, seated without a vote — AB175 (2023) added four to the Clark County board; the 2025 bill giving them full voting rights and term limits died in Senate Education.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Superintendent.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district's chief executive, hired by the elected school board — which is why the $485,000 contracts have never been touched by a bill.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Collective bargaining.</w:t>
      </w:r>
      <w:r>
        <w:rPr>
          <w:rFonts w:ascii="Arial" w:hAnsi="Arial" w:cs="Arial" w:eastAsia="Arial"/>
          <w:b w:val="0"/>
          <w:color w:val="444444"/>
          <w:sz w:val="20"/>
        </w:rPr>
        <w:t xml:space="preserve"> Contract negotiation between a district and its employee unions; AB155 (2025), adding class size to bargaining, was vetoed.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Hard-to-fill positions.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Teaching jobs districts struggle to staff — special education, rural posts — now eligible for extra pay (AB398, 2025).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Provisional hiring.</w:t>
      </w:r>
      <w:r>
        <w:rPr>
          <w:rFonts w:ascii="Arial" w:hAnsi="Arial" w:cs="Arial" w:eastAsia="Arial"/>
          <w:b w:val="0"/>
          <w:color w:val="444444"/>
          <w:sz w:val="20"/>
        </w:rPr>
        <w:t xml:space="preserve"> Letting a licensed out-of-state teacher start work for a year while Nevada licensure paperwork finishes (AB49, 2025).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Interstate Teacher Mobility Compact.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multi-state agreement honoring other states' teacher licenses (SB442, 2023).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Teaching-pathway grants.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Paid routes into the profession for aspiring teachers (AB515, AB428, 2023).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Three-cueing.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reading-instruction method that has pupils guess words from context and pictures rather than sounding them out; the 2023 ban (AB187) died in committee.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Cross-zone transfers.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Letting a pupil attend a school outside the attendance zone assigned to their address, with transportation grants (AB533, 2025).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"Where money allows" mandates.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Staffing requirements — such as school social workers — that apply only to the extent funding exists. The unconditional versions die in committee; the money-permitting versions pass.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Ed-tech commission.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state's dedicated educational-technology commission, abolished in 2023 (SB214).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Screen time.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Pupils' time on classroom devices; no bill limits it in the early grades.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FEDERAL PROGRAMS AND TERMS</w:t>
      </w:r>
    </w:p>
    <w:p>
      <w:pPr>
        <w:widowControl/>
        <w:spacing w:before="0" w:after="40" w:lineRule="auto" w:line="247"/>
      </w:pPr>
      <w:r>
        <w:rPr>
          <w:rFonts w:ascii="Arial" w:hAnsi="Arial" w:cs="Arial" w:eastAsia="Arial"/>
          <w:b w:val="0"/>
          <w:i/>
          <w:color w:val="666666"/>
          <w:sz w:val="20"/>
        </w:rPr>
        <w:t>Terms from the brief's federal-overlap section.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Every Student Succeeds Act (ESSA).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federal education law requiring annual statewide testing in grades 3–8 and once in high school. Dropping Nevada's statewide test would collide with it — but it allows growth-based accountability.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Federal single audit.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annual independent audit required of any district spending significant federal money.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FERPA / COPPA.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federal laws protecting pupil records (Family Educational Rights and Privacy Act) and children's online data (Children's Online Privacy Protection Act) — the ground Nevada's pupil-data disclosure law built on.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Head Start.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federal pre-kindergarten program for low-income families. Universal federal pre-K has been proposed but never enacted.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Federal teacher loan forgiveness.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Existing federal programs that cancel student debt for teachers who serve qualifying schools.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ACRONYMS AND ABBREVIATIONS</w:t>
      </w:r>
    </w:p>
    <w:p>
      <w:pPr>
        <w:widowControl/>
        <w:spacing w:before="0" w:after="40" w:lineRule="auto" w:line="247"/>
      </w:pPr>
      <w:r>
        <w:rPr>
          <w:rFonts w:ascii="Arial" w:hAnsi="Arial" w:cs="Arial" w:eastAsia="Arial"/>
          <w:b w:val="0"/>
          <w:i/>
          <w:color w:val="666666"/>
          <w:sz w:val="20"/>
        </w:rPr>
        <w:t>Every shortened form used in the brief.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AB / SB.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Assembly Bill / Senate Bill — the chamber a bill started in, plus its number. Numbering restarts every session, so a number can repeat across years.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D / R.</w:t>
      </w:r>
      <w:r>
        <w:rPr>
          <w:rFonts w:ascii="Arial" w:hAnsi="Arial" w:cs="Arial" w:eastAsia="Arial"/>
          <w:b w:val="0"/>
          <w:color w:val="444444"/>
          <w:sz w:val="20"/>
        </w:rPr>
        <w:t xml:space="preserve"> Democrat / Republican, shown after a legislator's name.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K-12 / K-5.</w:t>
      </w:r>
      <w:r>
        <w:rPr>
          <w:rFonts w:ascii="Arial" w:hAnsi="Arial" w:cs="Arial" w:eastAsia="Arial"/>
          <w:b w:val="0"/>
          <w:color w:val="444444"/>
          <w:sz w:val="20"/>
        </w:rPr>
        <w:t xml:space="preserve"> Kindergarten through grade 12 (all of public school) / kindergarten through grade 5 (elementary).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AI.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Artificial intelligence — software that mimics human judgment; barred from school counselors' duties by AB406 (2025).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IG.</w:t>
      </w:r>
      <w:r>
        <w:rPr>
          <w:rFonts w:ascii="Arial" w:hAnsi="Arial" w:cs="Arial" w:eastAsia="Arial"/>
          <w:b w:val="0"/>
          <w:color w:val="444444"/>
          <w:sz w:val="20"/>
        </w:rPr>
        <w:t xml:space="preserve"> Inspector General.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PE.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Physical education.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ESSA.</w:t>
      </w:r>
      <w:r>
        <w:rPr>
          <w:rFonts w:ascii="Arial" w:hAnsi="Arial" w:cs="Arial" w:eastAsia="Arial"/>
          <w:b w:val="0"/>
          <w:color w:val="444444"/>
          <w:sz w:val="20"/>
        </w:rPr>
        <w:t xml:space="preserve"> Every Student Succeeds Act (federal).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FERPA.</w:t>
      </w:r>
      <w:r>
        <w:rPr>
          <w:rFonts w:ascii="Arial" w:hAnsi="Arial" w:cs="Arial" w:eastAsia="Arial"/>
          <w:b w:val="0"/>
          <w:color w:val="444444"/>
          <w:sz w:val="20"/>
        </w:rPr>
        <w:t xml:space="preserve"> Family Educational Rights and Privacy Act (federal).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COPPA.</w:t>
      </w:r>
      <w:r>
        <w:rPr>
          <w:rFonts w:ascii="Arial" w:hAnsi="Arial" w:cs="Arial" w:eastAsia="Arial"/>
          <w:b w:val="0"/>
          <w:color w:val="444444"/>
          <w:sz w:val="20"/>
        </w:rPr>
        <w:t xml:space="preserve"> Children's Online Privacy Protection Act (federal).</w:t>
      </w:r>
    </w:p>
    <w:p>
      <w:pPr>
        <w:widowControl/>
        <w:spacing w:before="40" w:after="0" w:lineRule="auto" w:line="254"/>
        <w:pBdr>
          <w:top w:val="single" w:sz="6" w:space="4" w:color="C8CDD6"/>
        </w:pBdr>
      </w:pPr>
      <w:r>
        <w:rPr>
          <w:rFonts w:ascii="Arial" w:hAnsi="Arial" w:cs="Arial" w:eastAsia="Arial"/>
          <w:b w:val="0"/>
          <w:color w:val="666666"/>
          <w:sz w:val="20"/>
          <w:spacing w:val="4"/>
        </w:rPr>
        <w:t>Companion glossary to the citizen brief v3.0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