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0" w:after="20" w:lineRule="auto" w:line="254"/>
      </w:pPr>
      <w:r>
        <w:rPr>
          <w:rFonts w:ascii="Arial" w:hAnsi="Arial" w:cs="Arial" w:eastAsia="Arial"/>
          <w:b/>
          <w:color w:val="1A2D4F"/>
          <w:sz w:val="20"/>
          <w:spacing w:val="20"/>
        </w:rPr>
        <w:t>T H E   F O R U M</w:t>
      </w:r>
    </w:p>
    <w:p>
      <w:pPr>
        <w:widowControl/>
        <w:spacing w:before="0" w:after="120" w:lineRule="auto" w:line="254"/>
        <w:pBdr>
          <w:bottom w:val="single" w:sz="20" w:space="2" w:color="1A2D4F"/>
        </w:pBdr>
      </w:pPr>
    </w:p>
    <w:p>
      <w:pPr>
        <w:widowControl/>
        <w:spacing w:before="0" w:after="40" w:lineRule="auto" w:line="252"/>
      </w:pPr>
      <w:r>
        <w:rPr>
          <w:rFonts w:ascii="Arial" w:hAnsi="Arial" w:cs="Arial" w:eastAsia="Arial"/>
          <w:b/>
          <w:color w:val="1A2D4F"/>
          <w:sz w:val="36"/>
        </w:rPr>
        <w:t>Policy Spotlights — Growth, Infrastructure, and Roads Brief</w:t>
      </w:r>
    </w:p>
    <w:p>
      <w:pPr>
        <w:widowControl/>
        <w:spacing w:before="0" w:after="120" w:lineRule="auto" w:line="254"/>
      </w:pPr>
      <w:r>
        <w:rPr>
          <w:rFonts w:ascii="Arial" w:hAnsi="Arial" w:cs="Arial" w:eastAsia="Arial"/>
          <w:b w:val="0"/>
          <w:color w:val="444444"/>
          <w:sz w:val="20"/>
        </w:rPr>
        <w:t>A focused, bill-by-bill look at how far each of the five Phase 2 growth-and-roads proposals has traveled in the General Assembly, 2019–2026, per the final proposal grid ("SC1 - Growth Infrastructure Roads"). Each proposal is sorted into the same viability groups the brief uses — already law, got support, stopped early, never filed — so the brief shows the overall terrain and these spotlights show one proposal at a time. Proposals are Forum process input from the Phase 2 Community Conversations, labeled [P-…].</w:t>
      </w:r>
    </w:p>
    <w:p>
      <w:pPr>
        <w:widowControl/>
        <w:spacing w:before="84" w:after="36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NEW OR EXPANDED LOCAL FUNDING TOOLS (PENNY / SALES TAX, IMPACT FEES, TOLLS, PARKING FEES) [P-LOCAL-FUNDING-TOOLS]</w:t>
      </w:r>
    </w:p>
    <w:p>
      <w:pPr>
        <w:widowControl/>
        <w:spacing w:before="0" w:after="60" w:lineRule="auto" w:line="276"/>
      </w:pPr>
      <w:r>
        <w:rPr>
          <w:rFonts w:ascii="Arial" w:hAnsi="Arial" w:cs="Arial" w:eastAsia="Arial"/>
          <w:b w:val="0"/>
          <w:i/>
          <w:color w:val="666666"/>
          <w:sz w:val="20"/>
        </w:rPr>
        <w:t>Counties already have referendum-gated penny taxes and a 1999 impact-fee law; every bill to widen either tool died unheard, while a new preservation penny became law.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Already law (enacted in this record)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S152 (Act 166 of 2022):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County Green Space Sales Tax — a new voter-approved local penny for preserving green space; Senate 43–1 and 41–3, House 67–28.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S217 (Act 146 of 2020):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tourism (hospitality) tax revenue can fund control and repair of flooding and drainage in tourism areas; Senate 34–2, House 87–15.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S40 (Act 89 of 2021):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state rules for municipal restrictions and paid parking on state highways in beach communities, with directions for the parking money; Senate 44–0, House 102–10.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H4589 (Act 203 of 2026):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local-option education capital improvements penny opened to more counties; House 81–18 and 91–14, Senate 40–2.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S831 (Act 177 of 2026), toll provisions: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SCDOT Modernization Act rewrote the state toll framework — usage charges may only be imposed on new-capacity "choice lanes," and existing free lanes cannot be tolled.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Stopped early (died in first committee, no recorded vote)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Transportation penny for transit — filed every session: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S611 and H4389 (2019), H3535 and S437 (2021), S290 (2023) — defining "mass transit system" so penny revenue clearly funds transit; S562 and H4059 (2023) — adding ferries, greenbelts, and drainage to fundable projects; S979 (2026) — greenways, flood-prevention drainage, and ballot language to extend the tax; S594 (2019) — the funding-revisions version.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Penny mechanics: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H3129 (2021) — remove the rule blocking a capital-project penny from stacking on a transportation penny; S116 (2023) — let a renewed capital-project penny run eleven years instead of seven; H5188 and S1113 (2024) — exempt groceries from the transportation penny; S449 (2019) — let the capital-project penny fund economic-development infrastructure.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Penny purposes (workforce housing, green space, emergency services):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S298 and H3911 (2025–26), S1006 (2026), H5744 (2026).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Tolls: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S178 and H3739 (2019) — require SCDOT to toll I-95 at Lake Marion; S780 (2019) — require SCDOT to review every highway and bridge project for toll financing; S499 (2023) — the Lake Marion toll again; S674 (2023) — the Interstate 95 Bridge Toll Act, with toll booths at four bridges and resident relief.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Local fees: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S172 (2019) — a county-option one-cent-a-gallon gas fee for beach renourishment, by referendum; H3483 (2021) — local road-use fees kept in a separate audited account; H4597 (2019) — letting a county keep a pre-1997 hospitality fee (the family that funds Horry County road projects); S629 (2019) and the H3132/H4674 pair (2019–20) — more tourism-tax flexibility.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Green space follow-on: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S792 (2023) — letting a small share of green-space penny money fund conservation management.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The impact-fee tool this proposal names — stopped early (no recorded vote, either direction)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Expanding the 1999 Development Impact Fee Act: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H4659 (2023) — allow fees on residential development only, or commercial only (today it is all-or-nothing); H5088 (2026) — add road resurfacing as a fundable cost and extend the spending window; H3460 (2021) and H4008 (2025) — a one-time developer fee per new unit funding help for longtime residents facing displacement, with an exemption for projects with 15% low-income housing; H4943 (2022) — let pre-1999 fee programs pay down project debt.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Narrowing it (the building-industry direction):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H4981 and S856 (2023–24) — exclude repair, operation, maintenance, and administrative costs from what fees may cover; H5017 (2024) and H3165 (2025) — the same exclusions packaged with county-to-city development reports and annexation notices; H4672 (2025) — exempt buyers who owned a home in the same school district within fifteen years.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The one enacted impact-fee rule (a budget proviso, one year)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FY 2021-22 proviso 117.96:</w:t>
      </w:r>
      <w:r>
        <w:rPr>
          <w:rFonts w:ascii="Arial" w:hAnsi="Arial" w:cs="Arial" w:eastAsia="Arial"/>
          <w:b w:val="0"/>
          <w:color w:val="444444"/>
          <w:sz w:val="20"/>
        </w:rPr>
        <w:t xml:space="preserve"> barred impact fees on new elementary, middle, and secondary school construction, on pain of losing state aid. Not renewed in any later budget.</w:t>
      </w:r>
    </w:p>
    <w:p>
      <w:pPr>
        <w:widowControl/>
        <w:spacing w:before="84" w:after="36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STATE COMPREHENSIVE / MASTER PLANNING VS. FRAGMENTED COUNTY PLANS [P-STATE-MASTER-PLANNING]</w:t>
      </w:r>
    </w:p>
    <w:p>
      <w:pPr>
        <w:widowControl/>
        <w:spacing w:before="0" w:after="60" w:lineRule="auto" w:line="276"/>
      </w:pPr>
      <w:r>
        <w:rPr>
          <w:rFonts w:ascii="Arial" w:hAnsi="Arial" w:cs="Arial" w:eastAsia="Arial"/>
          <w:b w:val="0"/>
          <w:i/>
          <w:color w:val="666666"/>
          <w:sz w:val="20"/>
        </w:rPr>
        <w:t>No state- or regional-planning bill exists in this record. The fights are over state rules on local plans, concurrency, and annexation.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Already law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S259 (Act 163 of 2020):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Disaster Relief and Resilience Act — a state Office of Resilience, a statewide resilience plan, and a required resiliency element in every local comprehensive plan; Senate 44–1, House 65–35 (its House twin H4731 died in Judiciary).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H4262 (Act 179 of 2020):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Small Wireless Facilities Deployment Act — statewide rules for 5G small cells in rights of way, limiting local zoning control; 108–2, 32–6, 104–1.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Got support but didn't finish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S227 (filed 2025):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concurrency — local governments could tie development approval to infrastructure keeping pace; reported favorably, amended on the Senate floor April 29, 2026, died without completing passage. The furthest any growth-management bill traveled in this record.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S288 (filed 2025):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transferable development rights; favorable Judiciary report, died on the Senate calendar.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Stopped early (died in first committee, no recorded vote)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Concurrency predecessors and twins: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H5562 (2024), H4050 (2025).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Zoning-decision accountability: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H4390 (2025) — the Community Impact and Opportunity Assessment Act, requiring impact assessments (infrastructure, affordability, displacement) before major zoning decisions; S530 and H4293 (2025) — permits void when zoning officials find a use not permitted.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Annexation controls: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H5742 (2026) — a county could block municipal annexation until an infrastructure impact study and mitigation plan is approved; H4651 (2023) — the Annexation Fairness Act, county standing to challenge annexations; H5196 (2022), H3236 (2023), H4726 (2025) — cities could annex "donut holes" they surround.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The developer-side counter-current (loosening local control):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Home Attainability Act permitting packages (S528 and H3863 in 2021, S4 in 2023, S4 in 2025); 45-day permit shot clocks (H4652 in 2024, H3215 in 2025); housing-cost impact analyses for new ordinances (H4482 and S757, 2019); plat and subdivision definition changes (H4598 and S833, 2019); planning-appeal alignment (H4721, 2019); transferable development rights (H4996 in 2024, H4146 in 2026).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Never filed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 w:val="0"/>
          <w:color w:val="444444"/>
          <w:sz w:val="20"/>
        </w:rPr>
        <w:t>State-level or regional comprehensive planning replacing county plans — the design citizens described — has not been proposed by any bill in this record.</w:t>
      </w:r>
    </w:p>
    <w:p>
      <w:pPr>
        <w:widowControl/>
        <w:spacing w:before="84" w:after="36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FIX THE ROADS WE'VE GOT FIRST [P-FIX-ROADS-FIRST]</w:t>
      </w:r>
    </w:p>
    <w:p>
      <w:pPr>
        <w:widowControl/>
        <w:spacing w:before="0" w:after="60" w:lineRule="auto" w:line="276"/>
      </w:pPr>
      <w:r>
        <w:rPr>
          <w:rFonts w:ascii="Arial" w:hAnsi="Arial" w:cs="Arial" w:eastAsia="Arial"/>
          <w:b w:val="0"/>
          <w:i/>
          <w:color w:val="666666"/>
          <w:sz w:val="20"/>
        </w:rPr>
        <w:t>Every standalone maintenance bill died in first committee — but the pothole-reporting design passed inside the SCDOT Modernization Act, and the fix-first money is real in the annual budget.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Already law (inside the SCDOT Modernization Act)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S831 (Act 177 of 2026), maintenance provisions: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Pothole Mitigation Program (new Section 57-5-1800) — the public reports potholes by phone, website, or a free mobile app, SCDOT must repair each reported pothole within seven days, and $15,000,000 a year is set aside from the Infrastructure Maintenance Trust Fund for full-depth repair of repeat potholes. The act also reset the county "C"-funds rule: a thirty-three percent state-highway share, with the remaining share at the county transportation committee's discretion.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Stopped early (died in first committee, no recorded vote)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H5363 (2026):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"Fix Our Roads Accountability Act" — a statewide pavement preservation program run through SCDOT's engineering districts, with annual reports.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H4610 (2023):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SCDOT must properly maintain roads transferred into the state highway system.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H3871 (2021) and H3451 (2023):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toll-free SCDOT hotline for motorists whose vehicles are damaged by potholes and road hazards.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H4687 (2025):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county sheriffs would report hazardous road segments to SCDOT, which must respond and keep a public database.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H3516 (2023):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conditions for counties to maintain private roads that are residents' only access.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H4971 (2026):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SCDOT would transfer certain roads to counties and the 25%-to-state-highways rule for county "C" funds would be deleted.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H3358 (2019):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SCDOT mowing contractors would remove roadside trash before mowing.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Where the idea is law anyway (budget provisos, one year at a time)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Proviso 86.1 (renewed every enacted year):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2017 act's extra money for County Transportation Committees must be spent exclusively on repairs, maintenance, and improvements to the state highway system.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FY 2024-25 proviso 118.22:</w:t>
      </w:r>
      <w:r>
        <w:rPr>
          <w:rFonts w:ascii="Arial" w:hAnsi="Arial" w:cs="Arial" w:eastAsia="Arial"/>
          <w:b w:val="0"/>
          <w:color w:val="444444"/>
          <w:sz w:val="20"/>
        </w:rPr>
        <w:t xml:space="preserve"> $200,000,000 CTC Acceleration Fund; $100,000,000 Bridge Acceleration Fund; $117,401,000 Rural Road Safety Program.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FY 2025-26 proviso 118.22:</w:t>
      </w:r>
      <w:r>
        <w:rPr>
          <w:rFonts w:ascii="Arial" w:hAnsi="Arial" w:cs="Arial" w:eastAsia="Arial"/>
          <w:b w:val="0"/>
          <w:color w:val="444444"/>
          <w:sz w:val="20"/>
        </w:rPr>
        <w:t xml:space="preserve"> $200,000,000 for Bridge Modernization.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FY 2026-27 proviso 118.21:</w:t>
      </w:r>
      <w:r>
        <w:rPr>
          <w:rFonts w:ascii="Arial" w:hAnsi="Arial" w:cs="Arial" w:eastAsia="Arial"/>
          <w:b w:val="0"/>
          <w:color w:val="444444"/>
          <w:sz w:val="20"/>
        </w:rPr>
        <w:t xml:space="preserve"> $175,000,000 CTC Acceleration; $50,000,000 Bridge Modernization.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FY 2026-27 proviso 84.18: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Road Buyback Program — SCDOT identifies state roads no longer serving a statewide purpose and pays counties and cities to take them, resurfaced first, with a report due February 2027.</w:t>
      </w:r>
    </w:p>
    <w:p>
      <w:pPr>
        <w:widowControl/>
        <w:spacing w:before="84" w:after="36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NO NEW TAXES / OPPOSE EXTRA TAXES AND FEES [P-NO-NEW-TAXES]</w:t>
      </w:r>
    </w:p>
    <w:p>
      <w:pPr>
        <w:widowControl/>
        <w:spacing w:before="0" w:after="60" w:lineRule="auto" w:line="276"/>
      </w:pPr>
      <w:r>
        <w:rPr>
          <w:rFonts w:ascii="Arial" w:hAnsi="Arial" w:cs="Arial" w:eastAsia="Arial"/>
          <w:b w:val="0"/>
          <w:i/>
          <w:color w:val="666666"/>
          <w:sz w:val="20"/>
        </w:rPr>
        <w:t>Ten gas-fee measures died without hearings — and so did the one bill to raise the county share.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Stopped early (died in first committee, no recorded vote)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Freeze or repeal: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H4091 (2021) — stop the Act 40 phase-in at eight cents; H4092 (2021) — repeal the gas user fee and road tax outright.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2022 price-spike suspensions: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H5103 — suspend for one year; H5112 — suspend whenever average gas prices exceed $3.25 a gallon.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2026 suspensions: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S1045 — thirty days, extended thirty more if prices haven't fallen 15%; H5398, H5419, H5422, H5443, H5475 — five near-identical sixty-day suspension resolutions.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EV fees: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H4945 (2022) and H3177 (2023) — repeal the biennial road-use fee on electric and hybrid vehicles.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The opposite direction, same result: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H5331 (2026) — more than double the county ("C" fund) share of the gas fee; died in Ways and Means.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Already law (tightening, not cutting)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H3505 (Act 70 of 2021):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road-funding infrastructure maintenance fee now applies at first titling as well as first registration, closing a collection gap; House 106–4, Senate 42–2.</w:t>
      </w:r>
    </w:p>
    <w:p>
      <w:pPr>
        <w:widowControl/>
        <w:spacing w:before="84" w:after="36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IMPROVE THE CONTRACTOR BIDDING PROCESS / HOLD CONTRACTORS ACCOUNTABLE [P-CONTRACTOR-ACCOUNTABILITY]</w:t>
      </w:r>
    </w:p>
    <w:p>
      <w:pPr>
        <w:widowControl/>
        <w:spacing w:before="0" w:after="60" w:lineRule="auto" w:line="276"/>
      </w:pPr>
      <w:r>
        <w:rPr>
          <w:rFonts w:ascii="Arial" w:hAnsi="Arial" w:cs="Arial" w:eastAsia="Arial"/>
          <w:b w:val="0"/>
          <w:i/>
          <w:color w:val="666666"/>
          <w:sz w:val="20"/>
        </w:rPr>
        <w:t>No standalone bidding bill reached a floor vote — but the design-build method passed inside the SCDOT Modernization Act; the transparency tools exist as one-year budget rules.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Already law (inside the SCDOT Modernization Act)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S831 (Act 177 of 2026), contracting provisions: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phased design-build authority (new Section 57-5-1710) and construction manager/general contractor authority (57-5-1720) for SCDOT; public-private partnership agreements capped at sixty years (57-3-205); and a required independent external performance and organizational audit of SCDOT every four years.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Already law (edges of the lane)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S401 (Act 36 of 2019):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entities building transportation projects bear the cost of relocating water and sewer lines; Senate 38–0, House 108–0. Extended to 2032 by </w:t>
      </w:r>
      <w:r>
        <w:rPr>
          <w:rFonts w:ascii="Arial" w:hAnsi="Arial" w:cs="Arial" w:eastAsia="Arial"/>
          <w:b/>
          <w:color w:val="1A2D4F"/>
          <w:sz w:val="20"/>
        </w:rPr>
        <w:t>H3768 (Act 244 of 2026)</w:t>
      </w:r>
      <w:r>
        <w:rPr>
          <w:rFonts w:ascii="Arial" w:hAnsi="Arial" w:cs="Arial" w:eastAsia="Arial"/>
          <w:b w:val="0"/>
          <w:color w:val="444444"/>
          <w:sz w:val="20"/>
        </w:rPr>
        <w:t>, 103–0 and 44–0.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H4115 (Act 69 of 2023):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contractor licensing law rewrite — definitions, thresholds, penalties (licensing, not road bidding); House 90–15, Senate 42–0.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Stopped early or stranded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Design-build (standalone bills):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H5312 (2024) and H3560 (2025) — SCDOT could award contracts by progressive/phase design-build (qualifications first, then price); died in Ways and Means and Education and Public Works before the method was enacted inside Act 177.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SCDOT's contractor regulations (2020):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S1069 — the contractor performance-evaluation regulation; S1070 — disqualification and suspension from SCDOT contracts; both placed on the Senate calendar and never taken up when COVID ended the session.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Oversight and access: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H4090 (2021) — the secretary would certify and publish SCDOT's expenditure report, including infrastructure-bank transfers; S385, H4401, H4823 (2019–20) — extend disadvantaged-business participation rules across highway contracts and subcontracts; H3559 (2021) — the Partnership for Public Facilities and Infrastructure Act (public-private partnerships); H4369 (2019) — the resolution approving SCDOT's project-prioritization regulation passed the House 107–0 and was recommitted in Senate Transportation; H3119 (2023) and H3344 (2025) — no critical-infrastructure contracts with certain foreign-owned companies.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Where the accountability tools live now (budget provisos, one year at a time)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Proviso 84.8/84.9 (renewed yearly):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SCDOT must publish its project priority lists and the engineering directives explaining the ranking methodology in a conspicuous public place.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Proviso 84.18 → 84.15 (FY 2024-25 onward):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Programmed Project Viewer public dashboard upgrade — status, forecast versus actual cost, completion dates, an on-time/on-budget list, quarterly reports to the budget chairmen.</w:t>
      </w:r>
    </w:p>
    <w:sectPr w:rsidR="00FC693F" w:rsidRPr="0006063C" w:rsidSect="00034616">
      <w:footerReference w:type="default" r:id="rId9"/>
      <w:pgSz w:w="12240" w:h="15840"/>
      <w:pgMar w:top="864" w:right="864" w:bottom="864" w:left="864" w:header="72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512" w:val="right"/>
      </w:tabs>
    </w:pPr>
    <w:r/>
    <w:r>
      <w:rPr>
        <w:rFonts w:ascii="Arial" w:hAnsi="Arial" w:cs="Arial" w:eastAsia="Arial"/>
        <w:b w:val="0"/>
        <w:i/>
        <w:color w:val="666666"/>
        <w:sz w:val="16"/>
      </w:rPr>
      <w:t>SC1 Growth, Infrastructure, and Roads Policy Spotlights v2.1</w:t>
      <w:tab/>
    </w:r>
    <w:fldSimple w:instr=" PAGE ">
      <w:r>
        <w:rPr>
          <w:sz w:val="16"/>
          <w:color w:val="666666"/>
          <w:i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