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40" w:line="276" w:lineRule="auto"/>
        <w:rPr/>
      </w:pPr>
      <w:r>
        <w:rPr>
          <w:rFonts w:ascii="Arial" w:cs="Arial" w:eastAsia="Arial" w:hAnsi="Arial"/>
          <w:b w:val="1"/>
          <w:bCs w:val="1"/>
          <w:color w:val="1a2d4f"/>
          <w:sz w:val="36"/>
          <w:szCs w:val="36"/>
          <w:rtl w:val="0"/>
        </w:rPr>
        <w:t xml:space="preserve">Slow Wage Growth in South Carolina</w:t>
      </w:r>
    </w:p>
    <w:p>
      <w:pPr>
        <w:keepNext/>
        <w:spacing w:after="120" w:line="276" w:lineRule="auto"/>
        <w:rPr/>
      </w:pPr>
      <w:r>
        <w:rPr>
          <w:rFonts w:ascii="Arial" w:cs="Arial" w:eastAsia="Arial" w:hAnsi="Arial"/>
          <w:color w:val="444444"/>
          <w:sz w:val="20"/>
          <w:szCs w:val="20"/>
          <w:rtl w:val="0"/>
        </w:rPr>
        <w:t xml:space="preserve">The legislative record behind South Carolinians' three slow-wage-growth proposals, 2019–2026 — organized by how close each idea has come to becoming law.</w:t>
      </w:r>
    </w:p>
    <w:p>
      <w:pPr>
        <w:keepNext/>
        <w:spacing w:before="84" w:after="36" w:line="276" w:lineRule="auto"/>
        <w:rPr/>
      </w:pPr>
      <w:r>
        <w:rPr>
          <w:rFonts w:ascii="Arial" w:cs="Arial" w:eastAsia="Arial" w:hAnsi="Arial"/>
          <w:b w:val="1"/>
          <w:bCs w:val="1"/>
          <w:color w:val="c0392b"/>
          <w:sz w:val="25"/>
          <w:szCs w:val="25"/>
          <w:rtl w:val="0"/>
        </w:rPr>
        <w:t xml:space="preserve">WHAT THIS BRIEF COVERS</w:t>
      </w:r>
    </w:p>
    <w:p>
      <w:pPr>
        <w:widowControl/>
        <w:spacing w:after="49" w:line="276" w:lineRule="auto"/>
        <w:rPr/>
      </w:pPr>
      <w:r>
        <w:rPr>
          <w:rFonts w:ascii="Arial" w:cs="Arial" w:eastAsia="Arial" w:hAnsi="Arial"/>
          <w:color w:val="444444"/>
          <w:sz w:val="20"/>
          <w:szCs w:val="20"/>
          <w:rtl w:val="0"/>
        </w:rPr>
        <w:t xml:space="preserve">South Carolina has no state minimum wage law: the federal floor of $7.25 an hour applies, and state law keeps cities and counties from requiring private employers to pay more. Local governments can still raise pay for their own workers — the City of Charleston and Charleston County both moved their own employees to at least $15 an hour — but that is an employer's budget decision, not a law, and this brief covers only what the General Assembly has done. Across the last four two-year sessions (2019–2026), the General Assembly took up 106 wage-and-workforce bills in this set, and 13 became law. The record splits cleanly in two. Bills that would raise pay directly — a state minimum wage, equal-pay rules, paid sick leave — died in their first committee every single time, without a recorded vote anywhere in eight years. Bills that build pathways to better-paying jobs — apprenticeships, workforce scholarships, technical college training — became law again and again, almost always unanimously. Against that record, the three proposals that advanced out of the Community Conversations sit in three different places: workforce development is substantially law and still growing; the employer living-wage incentive exists as a filed bill that has not had a vote; and the age-bracketed minimum wage has half a record — the adult-raise half has been filed 24 times without a vote, and the youth-wage half has never been filed at all.</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106</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wage-and-workforce bills, 2019–2026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13</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 — job training, targeted wage floors, and tax measures</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24</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minimum-wage bills filed — none ever received a vote</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1 of 3</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citizen proposals already substantially law — workforce development</w:t>
            </w:r>
            <w:r w:rsidDel="00000000" w:rsidR="00000000" w:rsidRPr="00000000">
              <w:rPr>
                <w:rtl w:val="0"/>
              </w:rPr>
            </w:r>
          </w:p>
        </w:tc>
      </w:tr>
    </w:tbl>
    <w:p>
      <w:pPr>
        <w:spacing w:after="40" w:line="276" w:lineRule="auto"/>
        <w:rPr/>
      </w:pPr>
    </w:p>
    <w:p>
      <w:pPr>
        <w:keepNext/>
        <w:spacing w:before="84" w:after="36" w:line="276" w:lineRule="auto"/>
        <w:rPr/>
      </w:pPr>
      <w:r>
        <w:rPr>
          <w:rFonts w:ascii="Arial" w:cs="Arial" w:eastAsia="Arial" w:hAnsi="Arial"/>
          <w:b w:val="1"/>
          <w:bCs w:val="1"/>
          <w:color w:val="c0392b"/>
          <w:sz w:val="25"/>
          <w:szCs w:val="25"/>
          <w:rtl w:val="0"/>
        </w:rPr>
        <w:t xml:space="preserve">ALSO IN THE STATE BUDGET (PROVISOS)</w:t>
      </w:r>
    </w:p>
    <w:p>
      <w:pPr>
        <w:widowControl/>
        <w:spacing w:after="49" w:line="276" w:lineRule="auto"/>
        <w:rPr/>
      </w:pPr>
      <w:r>
        <w:rPr>
          <w:rFonts w:ascii="Arial" w:cs="Arial" w:eastAsia="Arial" w:hAnsi="Arial"/>
          <w:color w:val="444444"/>
          <w:sz w:val="20"/>
          <w:szCs w:val="20"/>
          <w:rtl w:val="0"/>
        </w:rPr>
        <w:t xml:space="preserve">Some of the state's biggest wage-and-training decisions never appear in a stand-alone bill. They live in provisos — one-year policy rules enacted inside Part IB of the annual budget bill. FY 2026-27 proviso 117.155 (GP: Lead Apprenticeship Agency) makes the technical college system, through Apprenticeship Carolina, the lead agency for all registered apprenticeships in the state — a role that has existed only in the budget, renewed each year since FY 2023-24, never in permanent law. FY 2026-27 proviso 25.4 (TEC: Critical Statewide Workforce Needs) steers technical college money to the fields with the most unmet employer demand, and its neighbors fund a workforce pilot for people with disabilities (25.7) and a public-awareness campaign about manufacturing and related careers (25.8) — the budget's answer, so far, to how people hear about these programs. The lottery-funding proviso (3.8) pays for SC WINS workforce scholarships each year — $17 million in FY 2021-22 and FY 2022-23, a peak of $93.7 million in FY 2023-24, $24.7 million this year. The annual state-employee raise is also set here, not in a pay statute: 2.5%, 3%, tiered raises, then 2% in each of the last two budgets (proviso 117.138 this year). One budget year is a gap: FY 2020-21 has no enacted proviso set — the budget bill died in committee during COVID and the state ran on a continuing resolution. Votes on provisos are votes on the whole budget bill, never on one proviso alone.</w:t>
      </w:r>
    </w:p>
    <w:p>
      <w:pPr>
        <w:keepNext/>
        <w:spacing w:before="84" w:after="36" w:line="276" w:lineRule="auto"/>
        <w:rPr/>
      </w:pPr>
      <w:r>
        <w:rPr>
          <w:rFonts w:ascii="Arial" w:cs="Arial" w:eastAsia="Arial" w:hAnsi="Arial"/>
          <w:b w:val="1"/>
          <w:bCs w:val="1"/>
          <w:color w:val="c0392b"/>
          <w:sz w:val="25"/>
          <w:szCs w:val="25"/>
          <w:rtl w:val="0"/>
        </w:rPr>
        <w:t xml:space="preserve">CLOSEST TO LAW: BILLS THAT PASSED BOTH CHAMBERS</w:t>
      </w:r>
    </w:p>
    <w:p>
      <w:pPr>
        <w:keepNext/>
        <w:spacing w:after="36" w:line="276" w:lineRule="auto"/>
        <w:rPr/>
      </w:pPr>
      <w:r>
        <w:rPr>
          <w:rFonts w:ascii="Arial" w:cs="Arial" w:eastAsia="Arial" w:hAnsi="Arial"/>
          <w:i w:val="1"/>
          <w:iCs w:val="1"/>
          <w:color w:val="666666"/>
          <w:sz w:val="20"/>
          <w:szCs w:val="20"/>
          <w:rtl w:val="0"/>
        </w:rPr>
        <w:t xml:space="preserve">One bill in this record passed both houses and still died — and its idea became law anyway.</w:t>
      </w:r>
    </w:p>
    <w:p>
      <w:pPr>
        <w:keepNext/>
        <w:spacing w:before="70" w:after="30" w:line="276" w:lineRule="auto"/>
        <w:rPr/>
      </w:pPr>
      <w:r>
        <w:rPr>
          <w:rFonts w:ascii="Arial" w:cs="Arial" w:eastAsia="Arial" w:hAnsi="Arial"/>
          <w:b w:val="1"/>
          <w:bCs w:val="1"/>
          <w:color w:val="2e4a78"/>
          <w:sz w:val="24"/>
          <w:szCs w:val="24"/>
          <w:rtl w:val="0"/>
        </w:rPr>
        <w:t xml:space="preserve">Passed both chambers, then died in conference</w:t>
      </w:r>
    </w:p>
    <w:p>
      <w:pPr>
        <w:widowControl/>
        <w:spacing w:after="49" w:line="276" w:lineRule="auto"/>
        <w:rPr/>
      </w:pPr>
      <w:r>
        <w:rPr>
          <w:rFonts w:ascii="Arial" w:cs="Arial" w:eastAsia="Arial" w:hAnsi="Arial"/>
          <w:b w:val="1"/>
          <w:bCs w:val="1"/>
          <w:color w:val="1a2d4f"/>
          <w:sz w:val="20"/>
          <w:szCs w:val="20"/>
          <w:rtl w:val="0"/>
        </w:rPr>
        <w:t xml:space="preserve">The Employment First Initiative Act — H3244 (2021)</w:t>
      </w:r>
      <w:r>
        <w:rPr>
          <w:rFonts w:ascii="Arial" w:cs="Arial" w:eastAsia="Arial" w:hAnsi="Arial"/>
          <w:color w:val="444444"/>
          <w:sz w:val="20"/>
          <w:szCs w:val="20"/>
          <w:rtl w:val="0"/>
        </w:rPr>
        <w:t xml:space="preserve"> passed the House 106–9 and the Senate 44–0, then died when the two chambers could not reconcile their versions before the year ended. The idea did not: </w:t>
      </w:r>
      <w:r>
        <w:rPr>
          <w:rFonts w:ascii="Arial" w:cs="Arial" w:eastAsia="Arial" w:hAnsi="Arial"/>
          <w:b w:val="1"/>
          <w:bCs w:val="1"/>
          <w:color w:val="1a2d4f"/>
          <w:sz w:val="20"/>
          <w:szCs w:val="20"/>
          <w:rtl w:val="0"/>
        </w:rPr>
        <w:t xml:space="preserve">S533 (Act 209 of 2022)</w:t>
      </w:r>
      <w:r>
        <w:rPr>
          <w:rFonts w:ascii="Arial" w:cs="Arial" w:eastAsia="Arial" w:hAnsi="Arial"/>
          <w:color w:val="444444"/>
          <w:sz w:val="20"/>
          <w:szCs w:val="20"/>
          <w:rtl w:val="0"/>
        </w:rPr>
        <w:t xml:space="preserve"> carried the same Employment First policy into law the next year and went further, banning subminimum pay for workers with disabilities — 43–0 in the Senate, 104–4 in the House. No wage or workforce bill in this record was vetoed.</w:t>
      </w:r>
    </w:p>
    <w:p>
      <w:pPr>
        <w:keepNext/>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keepNext/>
        <w:spacing w:after="36" w:line="276" w:lineRule="auto"/>
        <w:rPr/>
      </w:pPr>
      <w:r>
        <w:rPr>
          <w:rFonts w:ascii="Arial" w:cs="Arial" w:eastAsia="Arial" w:hAnsi="Arial"/>
          <w:i w:val="1"/>
          <w:iCs w:val="1"/>
          <w:color w:val="666666"/>
          <w:sz w:val="20"/>
          <w:szCs w:val="20"/>
          <w:rtl w:val="0"/>
        </w:rPr>
        <w:t xml:space="preserve">Each bill won a floor majority — several unanimous — before stalling in the other chamber.</w:t>
      </w:r>
    </w:p>
    <w:p>
      <w:pPr>
        <w:widowControl/>
        <w:spacing w:after="49" w:line="276" w:lineRule="auto"/>
        <w:rPr/>
      </w:pPr>
      <w:r>
        <w:rPr>
          <w:rFonts w:ascii="Arial" w:cs="Arial" w:eastAsia="Arial" w:hAnsi="Arial"/>
          <w:b w:val="1"/>
          <w:bCs w:val="1"/>
          <w:color w:val="1a2d4f"/>
          <w:sz w:val="20"/>
          <w:szCs w:val="20"/>
          <w:rtl w:val="0"/>
        </w:rPr>
        <w:t xml:space="preserve">The SC WINS scholarship — H3576 (2019).</w:t>
      </w:r>
      <w:r>
        <w:rPr>
          <w:rFonts w:ascii="Arial" w:cs="Arial" w:eastAsia="Arial" w:hAnsi="Arial"/>
          <w:color w:val="444444"/>
          <w:sz w:val="20"/>
          <w:szCs w:val="20"/>
          <w:rtl w:val="0"/>
        </w:rPr>
        <w:t xml:space="preserve"> Passed the House 105–0 and earned a favorable Senate committee report, then ran out of Senate calendar. The identical idea returned as H3144 and became law two years later (Act 204 of 2022, 105–1 and 40–0).</w:t>
      </w:r>
    </w:p>
    <w:p>
      <w:pPr>
        <w:widowControl/>
        <w:spacing w:after="49" w:line="276" w:lineRule="auto"/>
        <w:rPr/>
      </w:pPr>
      <w:r>
        <w:rPr>
          <w:rFonts w:ascii="Arial" w:cs="Arial" w:eastAsia="Arial" w:hAnsi="Arial"/>
          <w:b w:val="1"/>
          <w:bCs w:val="1"/>
          <w:color w:val="1a2d4f"/>
          <w:sz w:val="20"/>
          <w:szCs w:val="20"/>
          <w:rtl w:val="0"/>
        </w:rPr>
        <w:t xml:space="preserve">The career-pathways overhaul — H3759 and S419 (2019–20).</w:t>
      </w:r>
      <w:r>
        <w:rPr>
          <w:rFonts w:ascii="Arial" w:cs="Arial" w:eastAsia="Arial" w:hAnsi="Arial"/>
          <w:color w:val="444444"/>
          <w:sz w:val="20"/>
          <w:szCs w:val="20"/>
          <w:rtl w:val="0"/>
        </w:rPr>
        <w:t xml:space="preserve"> Each chamber passed its own version — the House 100–3, the Senate 40–4 after a weeks-long floor fight — and each died in the other chamber's committee when COVID ended the 2020 session. The 2023 workforce act later carried much of the idea.</w:t>
      </w:r>
    </w:p>
    <w:p>
      <w:pPr>
        <w:widowControl/>
        <w:spacing w:after="49" w:line="276" w:lineRule="auto"/>
        <w:rPr/>
      </w:pPr>
      <w:r>
        <w:rPr>
          <w:rFonts w:ascii="Arial" w:cs="Arial" w:eastAsia="Arial" w:hAnsi="Arial"/>
          <w:b w:val="1"/>
          <w:bCs w:val="1"/>
          <w:color w:val="1a2d4f"/>
          <w:sz w:val="20"/>
          <w:szCs w:val="20"/>
          <w:rtl w:val="0"/>
        </w:rPr>
        <w:t xml:space="preserve">The apprenticeship hiring credit — H3348 (2022).</w:t>
      </w:r>
      <w:r>
        <w:rPr>
          <w:rFonts w:ascii="Arial" w:cs="Arial" w:eastAsia="Arial" w:hAnsi="Arial"/>
          <w:color w:val="444444"/>
          <w:sz w:val="20"/>
          <w:szCs w:val="20"/>
          <w:rtl w:val="0"/>
        </w:rPr>
        <w:t xml:space="preserve"> Tax credits for employers who hire formerly incarcerated people or veterans into apprenticeship programs; passed the House 106–0 and died in Senate Finance.</w:t>
      </w:r>
    </w:p>
    <w:p>
      <w:pPr>
        <w:widowControl/>
        <w:spacing w:after="49" w:line="276" w:lineRule="auto"/>
        <w:rPr/>
      </w:pPr>
      <w:r>
        <w:rPr>
          <w:rFonts w:ascii="Arial" w:cs="Arial" w:eastAsia="Arial" w:hAnsi="Arial"/>
          <w:b w:val="1"/>
          <w:bCs w:val="1"/>
          <w:color w:val="1a2d4f"/>
          <w:sz w:val="20"/>
          <w:szCs w:val="20"/>
          <w:rtl w:val="0"/>
        </w:rPr>
        <w:t xml:space="preserve">The overtime tax exemption — H3368 (2026).</w:t>
      </w:r>
      <w:r>
        <w:rPr>
          <w:rFonts w:ascii="Arial" w:cs="Arial" w:eastAsia="Arial" w:hAnsi="Arial"/>
          <w:color w:val="444444"/>
          <w:sz w:val="20"/>
          <w:szCs w:val="20"/>
          <w:rtl w:val="0"/>
        </w:rPr>
        <w:t xml:space="preserve"> Exempting overtime pay from state income tax; passed the House 121–0, was reported favorably by Senate Finance, then failed on the Senate floor 16–27 — the only losing floor vote in this record.</w:t>
      </w:r>
    </w:p>
    <w:p>
      <w:pPr>
        <w:widowControl/>
        <w:spacing w:after="49" w:line="276" w:lineRule="auto"/>
        <w:rPr/>
      </w:pPr>
      <w:r>
        <w:rPr>
          <w:rFonts w:ascii="Arial" w:cs="Arial" w:eastAsia="Arial" w:hAnsi="Arial"/>
          <w:b w:val="1"/>
          <w:bCs w:val="1"/>
          <w:color w:val="1a2d4f"/>
          <w:sz w:val="20"/>
          <w:szCs w:val="20"/>
          <w:rtl w:val="0"/>
        </w:rPr>
        <w:t xml:space="preserve">Skills-based hiring — S859 (2024).</w:t>
      </w:r>
      <w:r>
        <w:rPr>
          <w:rFonts w:ascii="Arial" w:cs="Arial" w:eastAsia="Arial" w:hAnsi="Arial"/>
          <w:color w:val="444444"/>
          <w:sz w:val="20"/>
          <w:szCs w:val="20"/>
          <w:rtl w:val="0"/>
        </w:rPr>
        <w:t xml:space="preserve"> Opening state jobs to skills and experience rather than degree requirements; passed the Senate 42–0 and died in House Labor, Commerce and Industry. The 2025 refiles (H3479, S272) died in their first committees. </w:t>
      </w:r>
      <w:r>
        <w:rPr>
          <w:rFonts w:ascii="Arial" w:cs="Arial" w:eastAsia="Arial" w:hAnsi="Arial"/>
          <w:b w:val="1"/>
          <w:bCs w:val="1"/>
          <w:color w:val="1a2d4f"/>
          <w:sz w:val="20"/>
          <w:szCs w:val="20"/>
          <w:rtl w:val="0"/>
        </w:rPr>
        <w:t xml:space="preserve">Workforce readiness — H4060 (2023)</w:t>
      </w:r>
      <w:r>
        <w:rPr>
          <w:rFonts w:ascii="Arial" w:cs="Arial" w:eastAsia="Arial" w:hAnsi="Arial"/>
          <w:color w:val="444444"/>
          <w:sz w:val="20"/>
          <w:szCs w:val="20"/>
          <w:rtl w:val="0"/>
        </w:rPr>
        <w:t xml:space="preserve"> passed the House 108–2 and died in Senate Education. </w:t>
      </w:r>
      <w:r>
        <w:rPr>
          <w:rFonts w:ascii="Arial" w:cs="Arial" w:eastAsia="Arial" w:hAnsi="Arial"/>
          <w:b w:val="1"/>
          <w:bCs w:val="1"/>
          <w:color w:val="1a2d4f"/>
          <w:sz w:val="20"/>
          <w:szCs w:val="20"/>
          <w:rtl w:val="0"/>
        </w:rPr>
        <w:t xml:space="preserve">The workforce-agency restructures — S546 (2023) and S279 (2025)</w:t>
      </w:r>
      <w:r>
        <w:rPr>
          <w:rFonts w:ascii="Arial" w:cs="Arial" w:eastAsia="Arial" w:hAnsi="Arial"/>
          <w:color w:val="444444"/>
          <w:sz w:val="20"/>
          <w:szCs w:val="20"/>
          <w:rtl w:val="0"/>
        </w:rPr>
        <w:t xml:space="preserve"> passed the Senate 42–0 and 41–0 and died in House committees.</w:t>
      </w:r>
    </w:p>
    <w:p>
      <w:pPr>
        <w:keepNext/>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keepNext/>
        <w:spacing w:after="36" w:line="276" w:lineRule="auto"/>
        <w:rPr/>
      </w:pPr>
      <w:r>
        <w:rPr>
          <w:rFonts w:ascii="Arial" w:cs="Arial" w:eastAsia="Arial" w:hAnsi="Arial"/>
          <w:i w:val="1"/>
          <w:iCs w:val="1"/>
          <w:color w:val="666666"/>
          <w:sz w:val="20"/>
          <w:szCs w:val="20"/>
          <w:rtl w:val="0"/>
        </w:rPr>
        <w:t xml:space="preserve">New law settles some ground — and shows where the General Assembly keeps building.</w:t>
      </w:r>
    </w:p>
    <w:p>
      <w:pPr>
        <w:keepNext/>
        <w:spacing w:before="70" w:after="30" w:line="276" w:lineRule="auto"/>
        <w:rPr/>
      </w:pPr>
      <w:r>
        <w:rPr>
          <w:rFonts w:ascii="Arial" w:cs="Arial" w:eastAsia="Arial" w:hAnsi="Arial"/>
          <w:b w:val="1"/>
          <w:bCs w:val="1"/>
          <w:color w:val="2e4a78"/>
          <w:sz w:val="24"/>
          <w:szCs w:val="24"/>
          <w:rtl w:val="0"/>
        </w:rPr>
        <w:t xml:space="preserve">New laws, 2022–2026</w:t>
      </w:r>
    </w:p>
    <w:p>
      <w:pPr>
        <w:widowControl/>
        <w:spacing w:after="49" w:line="276" w:lineRule="auto"/>
        <w:rPr/>
      </w:pPr>
      <w:r>
        <w:rPr>
          <w:rFonts w:ascii="Arial" w:cs="Arial" w:eastAsia="Arial" w:hAnsi="Arial"/>
          <w:color w:val="444444"/>
          <w:sz w:val="20"/>
          <w:szCs w:val="20"/>
          <w:rtl w:val="0"/>
        </w:rPr>
        <w:t xml:space="preserve">Thirteen wage-and-workforce laws in this record, all but one enacted between 2022 and 2024. The workforce ladder led: SC WINS scholarships in statute (H3144, Act 204 of 2022, 105–1 and 40–0), the restructured Coordinating Council for Workforce Development (H4766, Act 194 of 2022), the Earn and Learn Act connecting students to registered apprenticeships for credit (H3605, Act 13 of 2023, 114–0 and 39–0), the Statewide Education and Workforce Development Act creating one state workforce office and plan (H3726, Act 67 of 2023, 102–3 and 41–2), the workforce agency's cabinet-restructure act (H3783, Act 1 of 2023), a bigger and longer apprentice tax credit (S557, Act 188 of 2024, 42–0 and 111–0), and the STEM Opportunity Act (H3863, Act 142 of 2026, 103–0 and 43–0) — the 2025–26 session's one law in this set. The wage floors that passed were targeted: the disability subminimum ban (S533, Act 209 of 2022) and a federal-minimum floor for inmates in private prison-industry programs (S1001, Act 192 of 2024, 45–0 and 109–0). The tax code carried the rest: job development credit updates inside the 2022 and 2024 tax packages (S901, Act 237 of 2022, 41–0 and 91–0; H4087, Act 222 of 2024, 45–0 and 84–12), the military-retirement income exemption branded as workforce policy (H3247, Act 156 of 2022, 107–0 and 43–0), and consumer rules for earned-wage-access services (S700, Act 190 of 2024).</w:t>
      </w:r>
    </w:p>
    <w:p>
      <w:pPr>
        <w:keepNext/>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widowControl/>
        <w:spacing w:after="49" w:line="276" w:lineRule="auto"/>
        <w:rPr/>
      </w:pPr>
      <w:r>
        <w:rPr>
          <w:rFonts w:ascii="Arial" w:cs="Arial" w:eastAsia="Arial" w:hAnsi="Arial"/>
          <w:color w:val="444444"/>
          <w:sz w:val="20"/>
          <w:szCs w:val="20"/>
          <w:rtl w:val="0"/>
        </w:rPr>
        <w:t xml:space="preserve">The workforce-pathway lane keeps extending — each law built on the last, from proviso-funded scholarships (2019) to statute (2022) to a statewide office (2023) to a bigger employer credit (2024) — and none of it has ever lost a floor vote. Skills-based hiring has a unanimous Senate vote behind it and three committee deaths; the design keeps returning. The wage-linked incentive machinery (job development credits keyed to pay levels) is updated routinely inside tax packages, which is the venue where the living-wage incentive idea would compete. And the two enacted wage floors show the shape of what passes: narrow, group-specific, near-unanimous.</w:t>
      </w:r>
    </w:p>
    <w:p>
      <w:pPr>
        <w:keepNext/>
        <w:spacing w:before="84" w:after="36" w:line="276" w:lineRule="auto"/>
        <w:rPr/>
      </w:pPr>
      <w:r>
        <w:rPr>
          <w:rFonts w:ascii="Arial" w:cs="Arial" w:eastAsia="Arial" w:hAnsi="Arial"/>
          <w:b w:val="1"/>
          <w:bCs w:val="1"/>
          <w:color w:val="c0392b"/>
          <w:sz w:val="25"/>
          <w:szCs w:val="25"/>
          <w:rtl w:val="0"/>
        </w:rPr>
        <w:t xml:space="preserve">LITTLE TRACTION YET: STOPPED EARLY</w:t>
      </w:r>
    </w:p>
    <w:p>
      <w:pPr>
        <w:keepNext/>
        <w:spacing w:after="36" w:line="276" w:lineRule="auto"/>
        <w:rPr/>
      </w:pPr>
      <w:r>
        <w:rPr>
          <w:rFonts w:ascii="Arial" w:cs="Arial" w:eastAsia="Arial" w:hAnsi="Arial"/>
          <w:i w:val="1"/>
          <w:iCs w:val="1"/>
          <w:color w:val="666666"/>
          <w:sz w:val="20"/>
          <w:szCs w:val="20"/>
          <w:rtl w:val="0"/>
        </w:rPr>
        <w:t xml:space="preserve">Measured against the three proposals: one is substantially law, one is filed but unvoted, and one has never been filed in the form participants described.</w:t>
      </w:r>
    </w:p>
    <w:p>
      <w:pPr>
        <w:widowControl/>
        <w:spacing w:after="49" w:line="276" w:lineRule="auto"/>
        <w:rPr/>
      </w:pPr>
      <w:r>
        <w:rPr>
          <w:rFonts w:ascii="Arial" w:cs="Arial" w:eastAsia="Arial" w:hAnsi="Arial"/>
          <w:b w:val="1"/>
          <w:bCs w:val="1"/>
          <w:color w:val="1a2d4f"/>
          <w:sz w:val="20"/>
          <w:szCs w:val="20"/>
          <w:rtl w:val="0"/>
        </w:rPr>
        <w:t xml:space="preserve">An age-bracketed minimum wage with a youth wage.</w:t>
      </w:r>
      <w:r>
        <w:rPr>
          <w:rFonts w:ascii="Arial" w:cs="Arial" w:eastAsia="Arial" w:hAnsi="Arial"/>
          <w:color w:val="444444"/>
          <w:sz w:val="20"/>
          <w:szCs w:val="20"/>
          <w:rtl w:val="0"/>
        </w:rPr>
        <w:t xml:space="preserve"> No bill from 2019–2026 proposes a youth wage, a training wage, or any age-based wage bracket — the terms return zero hits in every bill's full text, verified statewide. The adult-raise half of the proposal has a deep record with no movement: twenty-four bills in four sessions, none ever voted on — fixed floors of $10–$17 an hour (higher local minimums stay banned), phased three-year schedules with automatic inflation adjustments, the recurring "SC Minimum Wage Act" with agency-set annual updates, advisory ballot questions (S633, 2021; S28, 2023), a constitutional amendment (S147, 2019), and a wage-board mechanism setting minimum pay by occupation (H3735, 2025). They stop in the same rooms every session: House Labor, Commerce and Industry; House Ways and Means; Senate Labor, Commerce and Industry; Senate Judiciary. The one tiered-wage law the legislature passed moved the other way: S533 removed a subminimum tier rather than creating one.</w:t>
      </w:r>
    </w:p>
    <w:p>
      <w:pPr>
        <w:widowControl/>
        <w:spacing w:after="49" w:line="276" w:lineRule="auto"/>
        <w:rPr/>
      </w:pPr>
      <w:r>
        <w:rPr>
          <w:rFonts w:ascii="Arial" w:cs="Arial" w:eastAsia="Arial" w:hAnsi="Arial"/>
          <w:b w:val="1"/>
          <w:bCs w:val="1"/>
          <w:color w:val="1a2d4f"/>
          <w:sz w:val="20"/>
          <w:szCs w:val="20"/>
          <w:rtl w:val="0"/>
        </w:rPr>
        <w:t xml:space="preserve">Government incentives for employers who pay a living wage.</w:t>
      </w:r>
      <w:r>
        <w:rPr>
          <w:rFonts w:ascii="Arial" w:cs="Arial" w:eastAsia="Arial" w:hAnsi="Arial"/>
          <w:color w:val="444444"/>
          <w:sz w:val="20"/>
          <w:szCs w:val="20"/>
          <w:rtl w:val="0"/>
        </w:rPr>
        <w:t xml:space="preserve"> The tax-credit version of the proposal exists as a filed bill: H4603, the Small Business Livable Wage Tax Credit Act (2026) — an income tax credit for small employers paying at or above a livable wage — died in House Ways and Means without a vote when the session ended, as did H4245 (2025), which pairs tax relief for people leaving public assistance with credits for the businesses that hire and retain them. The direct-bonus version has never been filed: no bill in this record proposes direct state payments to employers tied to wage levels. S398 (2021), wage and job obligations on subsidy recipients with clawbacks, died in Senate Labor, Commerce and Industry. The near-miss: the Redline Enterprise Zone Act (H4252, 2022) passed the House 103–2 and died in Senate Finance.</w:t>
      </w:r>
    </w:p>
    <w:p>
      <w:pPr>
        <w:widowControl/>
        <w:spacing w:after="49" w:line="276" w:lineRule="auto"/>
        <w:rPr/>
      </w:pPr>
      <w:r>
        <w:rPr>
          <w:rFonts w:ascii="Arial" w:cs="Arial" w:eastAsia="Arial" w:hAnsi="Arial"/>
          <w:b w:val="1"/>
          <w:bCs w:val="1"/>
          <w:color w:val="1a2d4f"/>
          <w:sz w:val="20"/>
          <w:szCs w:val="20"/>
          <w:rtl w:val="0"/>
        </w:rPr>
        <w:t xml:space="preserve">The rest of the direct-pay agenda.</w:t>
      </w:r>
      <w:r>
        <w:rPr>
          <w:rFonts w:ascii="Arial" w:cs="Arial" w:eastAsia="Arial" w:hAnsi="Arial"/>
          <w:color w:val="444444"/>
          <w:sz w:val="20"/>
          <w:szCs w:val="20"/>
          <w:rtl w:val="0"/>
        </w:rPr>
        <w:t xml:space="preserve"> Equal-pay bills died in first committee eleven times in four sessions; paid sick leave (H3469, 2021), ban-the-box for state hiring (S549, 2019; S25, 2023), school support staff pay raises (H4140, 2021; H3583, 2025), and the daily-overtime mandate (H4751, 2026) all stopped the same way.</w:t>
      </w:r>
    </w:p>
    <w:p>
      <w:pPr>
        <w:keepNext/>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widowControl/>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career training and workforce programs (5 of its 22 bills became law — the record's biggest theme, all near-unanimous); apprenticeship and hiring credits (2 of 7, plus two more that passed one chamber unanimously); targeted wage floors (2 of 4 core bills); and wage-linked employer incentives when they ride tax packages (2 packages enacted).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the general minimum wage (0 of 24, no vote ever taken); equal pay (0 of 11, same); worker-benefit mandates (paid sick leave, daily overtime); and stand-alone pay-linked incentive bills, which sit in the money committees without votes.</w:t>
      </w:r>
    </w:p>
    <w:p>
      <w:pPr>
        <w:widowControl/>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The first committee is this record's great filter — direct-pay bills die there without hearings recorded, and South Carolina publishes committee outcomes but never committee vote tallies, so no count exists for any of these stops. Bills that clear their own chamber die, when they die, in the second chamber's committee late in the session: Senate Education and Senate Finance for House bills, House Labor, Commerce and Industry and House Judiciary for Senate bills. Party labels are deliberately absent throughout this packet — attaching them requires a ballot-roster join that was not fetched — so this brief makes no party claims. The frequent minimum-wage lead sponsors are Rep. Cobb-Hunter, Sen. Scott, Rep. Garvin, and Rep. Hart; Rep. G.M. Smith led three of the enacted laws (Earn and Learn, the workforce act, the 2024 tax package), and Sen. Davis carried the skills-based hiring bills. Floor votes in this set are lopsided: every enacted bill cleared both chambers by wide margins, and the closest vote on any of them was 84–12.</w:t>
      </w:r>
    </w:p>
    <w:p>
      <w:pPr>
        <w:keepNext/>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keepNext/>
        <w:spacing w:after="36" w:line="276" w:lineRule="auto"/>
        <w:rPr/>
      </w:pPr>
      <w:r>
        <w:rPr>
          <w:rFonts w:ascii="Arial" w:cs="Arial" w:eastAsia="Arial" w:hAnsi="Arial"/>
          <w:i w:val="1"/>
          <w:iCs w:val="1"/>
          <w:color w:val="666666"/>
          <w:sz w:val="20"/>
          <w:szCs w:val="20"/>
          <w:rtl w:val="0"/>
        </w:rPr>
        <w:t xml:space="preserve">Where federal action already covers ground — and where the state route is the only one.</w:t>
      </w:r>
    </w:p>
    <w:p>
      <w:pPr>
        <w:widowControl/>
        <w:spacing w:after="49" w:line="276" w:lineRule="auto"/>
        <w:rPr/>
      </w:pPr>
      <w:r>
        <w:rPr>
          <w:rFonts w:ascii="Arial" w:cs="Arial" w:eastAsia="Arial" w:hAnsi="Arial"/>
          <w:color w:val="444444"/>
          <w:sz w:val="20"/>
          <w:szCs w:val="20"/>
          <w:rtl w:val="0"/>
        </w:rPr>
        <w:t xml:space="preserve">The wage floor itself is federal ground first: the Fair Labor Standards Act sets the $7.25 minimum, the overtime rules the 2025–26 tax-exemption bills worked around, and — directly relevant to the age-bracket proposal — a federal youth wage that already exists: employers may pay workers under 20 as little as $4.25 an hour for their first 90 days. Any state age bracket would sit on top of that layer and of a state minimum that does not yet exist. The subminimum-wage certificates for workers with disabilities that S533 banned are a federal program (FLSA Section 14(c)); the state law closed South Carolina to them. Registered apprenticeships are a U.S. Department of Labor program — the state's role, through Apprenticeship Carolina and the budget's lead-agency proviso, is recruiting employers into it, and the state apprentice tax credit (S557) pays employers who do. Federal workforce money flows through the state's system under the federal workforce law's state plan — the machinery H3726 reorganized. What has no federal layer at all is the core of this brief: whether South Carolina adopts a state minimum wage, whether cities may set their own (state law says no), the state tax credits, the technical college system, and SC WINS are state ground alone.</w:t>
      </w:r>
    </w:p>
    <w:p>
      <w:pPr>
        <w:pBdr>
          <w:top w:color="c8cdd6" w:space="4" w:sz="6" w:val="single"/>
        </w:pBdr>
        <w:spacing w:before="40" w:after="0" w:line="276" w:lineRule="auto"/>
        <w:rPr/>
      </w:pPr>
      <w:r>
        <w:rPr>
          <w:rFonts w:ascii="Arial" w:cs="Arial" w:eastAsia="Arial" w:hAnsi="Arial"/>
          <w:color w:val="666666"/>
          <w:sz w:val="20"/>
          <w:szCs w:val="20"/>
          <w:rtl w:val="0"/>
        </w:rPr>
        <w:t xml:space="preserve">Full bill-by-bill detail, votes, sponsors, budget provisos, and sources: Appendices A–I.</w:t>
      </w:r>
    </w:p>
    <w:p>
      <w:pPr>
        <w:pBdr>
          <w:bottom w:color="1a2d4f" w:space="2" w:sz="20" w:val="single"/>
        </w:pBdr>
        <w:spacing w:after="120" w:line="276" w:lineRule="auto"/>
        <w:rPr/>
      </w:pPr>
    </w:p>
    <w:p>
      <w:pPr>
        <w:pBdr>
          <w:bottom w:color="1a2d4f" w:space="2" w:sz="20" w:val="single"/>
        </w:pBdr>
        <w:spacing w:after="120" w:line="276" w:lineRule="auto"/>
        <w:rPr/>
      </w:pPr>
    </w:p>
    <w:p>
      <w:pPr>
        <w:keepNext/>
        <w:spacing w:after="40" w:line="252" w:lineRule="auto"/>
        <w:rPr/>
      </w:pPr>
      <w:r>
        <w:rPr>
          <w:rFonts w:ascii="Arial" w:cs="Arial" w:eastAsia="Arial" w:hAnsi="Arial"/>
          <w:b w:val="1"/>
          <w:bCs w:val="1"/>
          <w:color w:val="1a2d4f"/>
          <w:sz w:val="36"/>
          <w:szCs w:val="36"/>
          <w:rtl w:val="0"/>
        </w:rPr>
        <w:t xml:space="preserve">Policy Spotlights</w:t>
      </w:r>
    </w:p>
    <w:p>
      <w:pPr>
        <w:keepNext/>
        <w:spacing w:after="120" w:line="254" w:lineRule="auto"/>
        <w:rPr/>
      </w:pPr>
      <w:r>
        <w:rPr>
          <w:rFonts w:ascii="Arial" w:cs="Arial" w:eastAsia="Arial" w:hAnsi="Arial"/>
          <w:color w:val="444444"/>
          <w:sz w:val="20"/>
          <w:szCs w:val="20"/>
          <w:rtl w:val="0"/>
        </w:rPr>
        <w:t xml:space="preserve">A focused, bill-by-bill look at how far each proposal from the final Community Conversations grid has traveled. Each policy is sorted into the same viability groups the brief uses, so the brief's top section shows what is viable overall and these spotlights show how viable one policy may be. The frequency, consensus, and concerns under each heading are what participants reported; everything else is the legislative record.</w:t>
      </w:r>
    </w:p>
    <w:p>
      <w:pPr>
        <w:keepNext/>
        <w:spacing w:before="84" w:after="36" w:line="254" w:lineRule="auto"/>
        <w:rPr/>
      </w:pPr>
      <w:r>
        <w:rPr>
          <w:rFonts w:ascii="Arial" w:cs="Arial" w:eastAsia="Arial" w:hAnsi="Arial"/>
          <w:b w:val="1"/>
          <w:bCs w:val="1"/>
          <w:color w:val="c0392b"/>
          <w:sz w:val="25"/>
          <w:szCs w:val="25"/>
          <w:rtl w:val="0"/>
        </w:rPr>
        <w:t xml:space="preserve">AGE-BRACKETED MINIMUM WAGE WITH A SEPARATE YOUTH WAGE</w:t>
      </w:r>
    </w:p>
    <w:p>
      <w:pPr>
        <w:keepNext/>
        <w:spacing w:after="60"/>
        <w:rPr/>
      </w:pPr>
      <w:r>
        <w:rPr>
          <w:rFonts w:ascii="Arial" w:cs="Arial" w:eastAsia="Arial" w:hAnsi="Arial"/>
          <w:i w:val="1"/>
          <w:iCs w:val="1"/>
          <w:color w:val="666666"/>
          <w:sz w:val="20"/>
          <w:szCs w:val="20"/>
          <w:rtl w:val="0"/>
        </w:rPr>
        <w:t xml:space="preserve">Raised in three of four in-person events, with high consensus: raise the minimum wage for workers over 18, so independent adults earn more than teenagers with an after-school job. The concern raised: it could limit younger South Carolinians' upward mobility. The record: the adult-raise half has been filed 24 times without ever receiving a vote; the youth-wage half has never been filed.</w:t>
      </w:r>
    </w:p>
    <w:p>
      <w:pPr>
        <w:keepNext/>
        <w:spacing w:before="70" w:after="30" w:line="250" w:lineRule="auto"/>
        <w:rPr/>
      </w:pPr>
      <w:r>
        <w:rPr>
          <w:rFonts w:ascii="Arial" w:cs="Arial" w:eastAsia="Arial" w:hAnsi="Arial"/>
          <w:b w:val="1"/>
          <w:bCs w:val="1"/>
          <w:color w:val="2e4a78"/>
          <w:sz w:val="24"/>
          <w:szCs w:val="24"/>
          <w:rtl w:val="0"/>
        </w:rPr>
        <w:t xml:space="preserve">Already law (nearby, not the proposal itself)</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S533 (Act 209 of 2022): </w:t>
      </w:r>
      <w:r>
        <w:rPr>
          <w:rFonts w:ascii="Arial" w:cs="Arial" w:eastAsia="Arial" w:hAnsi="Arial"/>
          <w:color w:val="444444"/>
          <w:sz w:val="20"/>
          <w:szCs w:val="20"/>
          <w:rtl w:val="0"/>
        </w:rPr>
        <w:t xml:space="preserve">banned subminimum pay for workers with disabilities and enacted the Employment First Initiative Act; 43–0 and 104–4 — the one tiered-wage law in this record, and it removed a tier rather than creating one.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S1001 (Act 192 of 2024): </w:t>
      </w:r>
      <w:r>
        <w:rPr>
          <w:rFonts w:ascii="Arial" w:cs="Arial" w:eastAsia="Arial" w:hAnsi="Arial"/>
          <w:color w:val="444444"/>
          <w:sz w:val="20"/>
          <w:szCs w:val="20"/>
          <w:rtl w:val="0"/>
        </w:rPr>
        <w:t xml:space="preserve">at least the federal minimum wage for inmates working in private prison-industry programs; 45–0 and 109–0.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Federal layer: </w:t>
      </w:r>
      <w:r>
        <w:rPr>
          <w:rFonts w:ascii="Arial" w:cs="Arial" w:eastAsia="Arial" w:hAnsi="Arial"/>
          <w:color w:val="444444"/>
          <w:sz w:val="20"/>
          <w:szCs w:val="20"/>
          <w:rtl w:val="0"/>
        </w:rPr>
        <w:t xml:space="preserve">a youth wage already exists in federal law — employers may pay workers under 20 as little as $4.25 an hour for their first 90 days — so a state bracket would define how far above that floor adult and teen rates sit.</w:t>
      </w:r>
    </w:p>
    <w:p>
      <w:pPr>
        <w:keepNext/>
        <w:spacing w:before="70" w:after="30" w:line="250" w:lineRule="auto"/>
        <w:rPr/>
      </w:pPr>
      <w:r>
        <w:rPr>
          <w:rFonts w:ascii="Arial" w:cs="Arial" w:eastAsia="Arial" w:hAnsi="Arial"/>
          <w:b w:val="1"/>
          <w:bCs w:val="1"/>
          <w:color w:val="2e4a78"/>
          <w:sz w:val="24"/>
          <w:szCs w:val="24"/>
          <w:rtl w:val="0"/>
        </w:rPr>
        <w:t xml:space="preserve">Stopped early (the adult-raise half: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Fixed floors above the federal rate (higher local minimums stay banned): </w:t>
      </w:r>
      <w:r>
        <w:rPr>
          <w:rFonts w:ascii="Arial" w:cs="Arial" w:eastAsia="Arial" w:hAnsi="Arial"/>
          <w:color w:val="444444"/>
          <w:sz w:val="20"/>
          <w:szCs w:val="20"/>
          <w:rtl w:val="0"/>
        </w:rPr>
        <w:t xml:space="preserve">H3114 ($10.10, 2019), H3467 ($13, 2019), H3341 ($15, 2021), H3480 ($13, 2021), H5187 ($10, 2024).</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Phased three-year floors with automatic inflation adjustments: </w:t>
      </w:r>
      <w:r>
        <w:rPr>
          <w:rFonts w:ascii="Arial" w:cs="Arial" w:eastAsia="Arial" w:hAnsi="Arial"/>
          <w:color w:val="444444"/>
          <w:sz w:val="20"/>
          <w:szCs w:val="20"/>
          <w:rtl w:val="0"/>
        </w:rPr>
        <w:t xml:space="preserve">H3217 ($10.10, 2019), H3395 ($12, 2019), H3018 ($10.10, 2021), H3184 ($15, 2021), H3226 ($10.10, 2025).</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$17 flat floor, refiled every session: </w:t>
      </w:r>
      <w:r>
        <w:rPr>
          <w:rFonts w:ascii="Arial" w:cs="Arial" w:eastAsia="Arial" w:hAnsi="Arial"/>
          <w:color w:val="444444"/>
          <w:sz w:val="20"/>
          <w:szCs w:val="20"/>
          <w:rtl w:val="0"/>
        </w:rPr>
        <w:t xml:space="preserve">H4154 (2019), H3675 (2021), H3805 (2023), H3809 (2025).</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"SC Minimum Wage Act" (agency-adjusted for inflation each year): </w:t>
      </w:r>
      <w:r>
        <w:rPr>
          <w:rFonts w:ascii="Arial" w:cs="Arial" w:eastAsia="Arial" w:hAnsi="Arial"/>
          <w:color w:val="444444"/>
          <w:sz w:val="20"/>
          <w:szCs w:val="20"/>
          <w:rtl w:val="0"/>
        </w:rPr>
        <w:t xml:space="preserve">S149 (2019), S159, S343, and S634 (2021), S216 and S291 (2023).</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Other routes: </w:t>
      </w:r>
      <w:r>
        <w:rPr>
          <w:rFonts w:ascii="Arial" w:cs="Arial" w:eastAsia="Arial" w:hAnsi="Arial"/>
          <w:color w:val="444444"/>
          <w:sz w:val="20"/>
          <w:szCs w:val="20"/>
          <w:rtl w:val="0"/>
        </w:rPr>
        <w:t xml:space="preserve">S147 (2019, constitutional amendment), S633 (2021) and S28 (2023) — advisory ballot questions asking voters whether to raise the minimum wage to $15 an hour — and H3735 (2025, wage boards setting minimum pay by occupation).</w:t>
      </w:r>
    </w:p>
    <w:p>
      <w:pPr>
        <w:keepNext/>
        <w:spacing w:before="70" w:after="30" w:line="250" w:lineRule="auto"/>
        <w:rPr/>
      </w:pPr>
      <w:r>
        <w:rPr>
          <w:rFonts w:ascii="Arial" w:cs="Arial" w:eastAsia="Arial" w:hAnsi="Arial"/>
          <w:b w:val="1"/>
          <w:bCs w:val="1"/>
          <w:color w:val="2e4a78"/>
          <w:sz w:val="24"/>
          <w:szCs w:val="24"/>
          <w:rtl w:val="0"/>
        </w:rPr>
        <w:t xml:space="preserve">Never filed (the age-bracket half)</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No bill from 2019–2026 proposes a youth wage, a training wage, or any age-based wage bracket; the terms return zero hits in every bill's full text (verified statewide by the completeness gate). None of the 24 adult-minimum bills distinguishes workers by age: each sets one floor for all covered workers.</w:t>
      </w:r>
    </w:p>
    <w:p>
      <w:pPr>
        <w:keepNext/>
        <w:spacing w:before="84" w:after="36" w:line="254" w:lineRule="auto"/>
        <w:rPr/>
      </w:pPr>
      <w:r>
        <w:rPr>
          <w:rFonts w:ascii="Arial" w:cs="Arial" w:eastAsia="Arial" w:hAnsi="Arial"/>
          <w:b w:val="1"/>
          <w:bCs w:val="1"/>
          <w:color w:val="c0392b"/>
          <w:sz w:val="25"/>
          <w:szCs w:val="25"/>
          <w:rtl w:val="0"/>
        </w:rPr>
        <w:t xml:space="preserve">WORKFORCE DEVELOPMENT: APPRENTICESHIPS, CAREER PATHWAYS, AND TECHNICAL TRAINING</w:t>
      </w:r>
    </w:p>
    <w:p>
      <w:pPr>
        <w:keepNext/>
        <w:spacing w:after="60"/>
        <w:rPr/>
      </w:pPr>
      <w:r>
        <w:rPr>
          <w:rFonts w:ascii="Arial" w:cs="Arial" w:eastAsia="Arial" w:hAnsi="Arial"/>
          <w:i w:val="1"/>
          <w:iCs w:val="1"/>
          <w:color w:val="666666"/>
          <w:sz w:val="20"/>
          <w:szCs w:val="20"/>
          <w:rtl w:val="0"/>
        </w:rPr>
        <w:t xml:space="preserve">Raised in Greenville and Columbia, with strong agreement that these programs help people land better, higher-paying jobs. The concerns raised: that the programs mostly helped large businesses like Boeing and BMW, and that there was little awareness of the programs. The record: this is the most successful lane — six of the eight core laws, none of which lost a floor vote — and the record speaks to both concerns, below.</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H3144 (Act 204 of 2022): </w:t>
      </w:r>
      <w:r>
        <w:rPr>
          <w:rFonts w:ascii="Arial" w:cs="Arial" w:eastAsia="Arial" w:hAnsi="Arial"/>
          <w:color w:val="444444"/>
          <w:sz w:val="20"/>
          <w:szCs w:val="20"/>
          <w:rtl w:val="0"/>
        </w:rPr>
        <w:t xml:space="preserve">SC WINS scholarships for technical college students in high-demand fields; 105–1 and 40–0. The money goes to students, not employers — funded by lottery provisos at $17M–$93.7M a year.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H4766 (Act 194 of 2022): </w:t>
      </w:r>
      <w:r>
        <w:rPr>
          <w:rFonts w:ascii="Arial" w:cs="Arial" w:eastAsia="Arial" w:hAnsi="Arial"/>
          <w:color w:val="444444"/>
          <w:sz w:val="20"/>
          <w:szCs w:val="20"/>
          <w:rtl w:val="0"/>
        </w:rPr>
        <w:t xml:space="preserve">restructured the Coordinating Council for Workforce Development; 104–1 and 40–0.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H3605 (Act 13 of 2023): </w:t>
      </w:r>
      <w:r>
        <w:rPr>
          <w:rFonts w:ascii="Arial" w:cs="Arial" w:eastAsia="Arial" w:hAnsi="Arial"/>
          <w:color w:val="444444"/>
          <w:sz w:val="20"/>
          <w:szCs w:val="20"/>
          <w:rtl w:val="0"/>
        </w:rPr>
        <w:t xml:space="preserve">the Earn and Learn Act — registered apprenticeships and work-based learning for high-school and college credit; 114–0 and 39–0.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H3726 (Act 67 of 2023): </w:t>
      </w:r>
      <w:r>
        <w:rPr>
          <w:rFonts w:ascii="Arial" w:cs="Arial" w:eastAsia="Arial" w:hAnsi="Arial"/>
          <w:color w:val="444444"/>
          <w:sz w:val="20"/>
          <w:szCs w:val="20"/>
          <w:rtl w:val="0"/>
        </w:rPr>
        <w:t xml:space="preserve">the Statewide Education and Workforce Development Act — one state office and plan; 102–3 and 41–2.</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S557 (Act 188 of 2024): </w:t>
      </w:r>
      <w:r>
        <w:rPr>
          <w:rFonts w:ascii="Arial" w:cs="Arial" w:eastAsia="Arial" w:hAnsi="Arial"/>
          <w:color w:val="444444"/>
          <w:sz w:val="20"/>
          <w:szCs w:val="20"/>
          <w:rtl w:val="0"/>
        </w:rPr>
        <w:t xml:space="preserve">raised the apprentice tax credit and let employers claim it longer; 42–0 and 111–0. By its text, the credit is open to any taxpayer employing an apprentice under a registered apprenticeship agreement — it is not limited by company size or industry.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H3863 (Act 142 of 2026): </w:t>
      </w:r>
      <w:r>
        <w:rPr>
          <w:rFonts w:ascii="Arial" w:cs="Arial" w:eastAsia="Arial" w:hAnsi="Arial"/>
          <w:color w:val="444444"/>
          <w:sz w:val="20"/>
          <w:szCs w:val="20"/>
          <w:rtl w:val="0"/>
        </w:rPr>
        <w:t xml:space="preserve">the STEM Opportunity Act; 103–0 and 43–0.</w:t>
      </w:r>
    </w:p>
    <w:p>
      <w:pPr>
        <w:keepNext/>
        <w:spacing w:before="70" w:after="30" w:line="250" w:lineRule="auto"/>
        <w:rPr/>
      </w:pPr>
      <w:r>
        <w:rPr>
          <w:rFonts w:ascii="Arial" w:cs="Arial" w:eastAsia="Arial" w:hAnsi="Arial"/>
          <w:b w:val="1"/>
          <w:bCs w:val="1"/>
          <w:color w:val="2e4a78"/>
          <w:sz w:val="24"/>
          <w:szCs w:val="24"/>
          <w:rtl w:val="0"/>
        </w:rPr>
        <w:t xml:space="preserve">On the two concerns, what is in the record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Who the programs reach: </w:t>
      </w:r>
      <w:r>
        <w:rPr>
          <w:rFonts w:ascii="Arial" w:cs="Arial" w:eastAsia="Arial" w:hAnsi="Arial"/>
          <w:color w:val="444444"/>
          <w:sz w:val="20"/>
          <w:szCs w:val="20"/>
          <w:rtl w:val="0"/>
        </w:rPr>
        <w:t xml:space="preserve">the enacted designs are not written around large employers — WINS pays students, Earn and Learn connects students, and the apprentice credit is open to any employer with a registered apprentice. The record contains no enacted program restricted to large manufacturers; how take-up actually distributes across employers is outcome data this legislative record does not contain (Appendix F).</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Awareness: </w:t>
      </w:r>
      <w:r>
        <w:rPr>
          <w:rFonts w:ascii="Arial" w:cs="Arial" w:eastAsia="Arial" w:hAnsi="Arial"/>
          <w:color w:val="444444"/>
          <w:sz w:val="20"/>
          <w:szCs w:val="20"/>
          <w:rtl w:val="0"/>
        </w:rPr>
        <w:t xml:space="preserve">the budget already funds outreach — FY 2026-27 proviso 25.8 pays for a public-awareness campaign about manufacturing and related careers, and the SC Future Makers/Tallo proviso (1.94) funds a platform connecting students to South Carolina employers. Both are one-year budget rules, not permanent programs.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county role: </w:t>
      </w:r>
      <w:r>
        <w:rPr>
          <w:rFonts w:ascii="Arial" w:cs="Arial" w:eastAsia="Arial" w:hAnsi="Arial"/>
          <w:color w:val="444444"/>
          <w:sz w:val="20"/>
          <w:szCs w:val="20"/>
          <w:rtl w:val="0"/>
        </w:rPr>
        <w:t xml:space="preserve">the laws above are state laws, but much of the delivery runs through local bodies — each technical college answers to a local commission for the counties it serves, and the First Steps school-readiness program works through county-level partnerships (the 2023 First Steps law reorganized those local boards). So "the state passed it" and "the county runs it" are often both true.</w:t>
      </w:r>
    </w:p>
    <w:p>
      <w:pPr>
        <w:keepNext/>
        <w:spacing w:before="70" w:after="30" w:line="250" w:lineRule="auto"/>
        <w:rPr/>
      </w:pPr>
      <w:r>
        <w:rPr>
          <w:rFonts w:ascii="Arial" w:cs="Arial" w:eastAsia="Arial" w:hAnsi="Arial"/>
          <w:b w:val="1"/>
          <w:bCs w:val="1"/>
          <w:color w:val="2e4a78"/>
          <w:sz w:val="24"/>
          <w:szCs w:val="24"/>
          <w:rtl w:val="0"/>
        </w:rPr>
        <w:t xml:space="preserve">Proven support (passed one chamber, died in the other's committee)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H3576 (2019): </w:t>
      </w:r>
      <w:r>
        <w:rPr>
          <w:rFonts w:ascii="Arial" w:cs="Arial" w:eastAsia="Arial" w:hAnsi="Arial"/>
          <w:color w:val="444444"/>
          <w:sz w:val="20"/>
          <w:szCs w:val="20"/>
          <w:rtl w:val="0"/>
        </w:rPr>
        <w:t xml:space="preserve">SC WINS 1.0; House 105–0, favorable Senate committee report, ran out of Senate calendar.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H3759 / S419 (2019–20): </w:t>
      </w:r>
      <w:r>
        <w:rPr>
          <w:rFonts w:ascii="Arial" w:cs="Arial" w:eastAsia="Arial" w:hAnsi="Arial"/>
          <w:color w:val="444444"/>
          <w:sz w:val="20"/>
          <w:szCs w:val="20"/>
          <w:rtl w:val="0"/>
        </w:rPr>
        <w:t xml:space="preserve">the career-pathways overhaul; House 100–3 and Senate 40–4 respectively, both stopped when COVID ended the session.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H3348 (2022): </w:t>
      </w:r>
      <w:r>
        <w:rPr>
          <w:rFonts w:ascii="Arial" w:cs="Arial" w:eastAsia="Arial" w:hAnsi="Arial"/>
          <w:color w:val="444444"/>
          <w:sz w:val="20"/>
          <w:szCs w:val="20"/>
          <w:rtl w:val="0"/>
        </w:rPr>
        <w:t xml:space="preserve">tax credits for hiring formerly incarcerated people or veterans into apprenticeships; House 106–0, died in Senate Finance.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H4060 (2023): </w:t>
      </w:r>
      <w:r>
        <w:rPr>
          <w:rFonts w:ascii="Arial" w:cs="Arial" w:eastAsia="Arial" w:hAnsi="Arial"/>
          <w:color w:val="444444"/>
          <w:sz w:val="20"/>
          <w:szCs w:val="20"/>
          <w:rtl w:val="0"/>
        </w:rPr>
        <w:t xml:space="preserve">education and workforce readiness; House 108–2, died in Senate Education.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S859 (2024): </w:t>
      </w:r>
      <w:r>
        <w:rPr>
          <w:rFonts w:ascii="Arial" w:cs="Arial" w:eastAsia="Arial" w:hAnsi="Arial"/>
          <w:color w:val="444444"/>
          <w:sz w:val="20"/>
          <w:szCs w:val="20"/>
          <w:rtl w:val="0"/>
        </w:rPr>
        <w:t xml:space="preserve">skills-based hiring for state jobs; Senate 42–0, died in House Labor, Commerce and Industry.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S546 (2023) / S279 (2025): </w:t>
      </w:r>
      <w:r>
        <w:rPr>
          <w:rFonts w:ascii="Arial" w:cs="Arial" w:eastAsia="Arial" w:hAnsi="Arial"/>
          <w:color w:val="444444"/>
          <w:sz w:val="20"/>
          <w:szCs w:val="20"/>
          <w:rtl w:val="0"/>
        </w:rPr>
        <w:t xml:space="preserve">Department of Employment and Workforce restructuring; Senate 42–0 and 41–0, died in House committees.</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Workforce Education Act (H4022, 2019), workforce diploma program (S650, 2019), education-to-job data oversight (H3757, 2019; H3611, 2021; S461, 2023), workforce readiness (H3197, 2025 — reported out, no floor vote), Dual Enrollment Opportunity Act (H4984, 2026), Service Year Act (H3225, 2025), skills-based hiring refiles (H3479, S272, 2025), apprenticeship-credit tightening (H4600, 2024).</w:t>
      </w:r>
    </w:p>
    <w:p>
      <w:pPr>
        <w:keepNext/>
        <w:spacing w:before="84" w:after="36" w:line="254" w:lineRule="auto"/>
        <w:rPr/>
      </w:pPr>
      <w:r>
        <w:rPr>
          <w:rFonts w:ascii="Arial" w:cs="Arial" w:eastAsia="Arial" w:hAnsi="Arial"/>
          <w:b w:val="1"/>
          <w:bCs w:val="1"/>
          <w:color w:val="c0392b"/>
          <w:sz w:val="25"/>
          <w:szCs w:val="25"/>
          <w:rtl w:val="0"/>
        </w:rPr>
        <w:t xml:space="preserve">GOVERNMENT INCENTIVES / BONUSES FOR EMPLOYERS WHO PAY A LIVING WAGE</w:t>
      </w:r>
    </w:p>
    <w:p>
      <w:pPr>
        <w:keepNext/>
        <w:spacing w:after="60"/>
        <w:rPr/>
      </w:pPr>
      <w:r>
        <w:rPr>
          <w:rFonts w:ascii="Arial" w:cs="Arial" w:eastAsia="Arial" w:hAnsi="Arial"/>
          <w:i w:val="1"/>
          <w:iCs w:val="1"/>
          <w:color w:val="666666"/>
          <w:sz w:val="20"/>
          <w:szCs w:val="20"/>
          <w:rtl w:val="0"/>
        </w:rPr>
        <w:t xml:space="preserve">Raised in two of four in-person events, with mixed consensus: agreement on incentivizing employers to pay a living wage, divergence on funding and on whether the incentive should be a tax credit or a direct state bonus. The record: every pay-linked incentive filed so far uses the tax code; the direct-bonus design has never been filed.</w:t>
      </w:r>
    </w:p>
    <w:p>
      <w:pPr>
        <w:keepNext/>
        <w:spacing w:before="70" w:after="30" w:line="250" w:lineRule="auto"/>
        <w:rPr/>
      </w:pPr>
      <w:r>
        <w:rPr>
          <w:rFonts w:ascii="Arial" w:cs="Arial" w:eastAsia="Arial" w:hAnsi="Arial"/>
          <w:b w:val="1"/>
          <w:bCs w:val="1"/>
          <w:color w:val="2e4a78"/>
          <w:sz w:val="24"/>
          <w:szCs w:val="24"/>
          <w:rtl w:val="0"/>
        </w:rPr>
        <w:t xml:space="preserve">Already law (adjacent machinery — all tax-code designs)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S901 (Act 237 of 2022) and H4087 (Act 222 of 2024): </w:t>
      </w:r>
      <w:r>
        <w:rPr>
          <w:rFonts w:ascii="Arial" w:cs="Arial" w:eastAsia="Arial" w:hAnsi="Arial"/>
          <w:color w:val="444444"/>
          <w:sz w:val="20"/>
          <w:szCs w:val="20"/>
          <w:rtl w:val="0"/>
        </w:rPr>
        <w:t xml:space="preserve">updated job development credits — the state's existing wage-linked hiring incentive, which lets approved companies keep part of employee withholding, with the amount keyed to wage levels — inside broader tax packages; 41–0/91–0 and 45–0/84–12.</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S557 (Act 188 of 2024): </w:t>
      </w:r>
      <w:r>
        <w:rPr>
          <w:rFonts w:ascii="Arial" w:cs="Arial" w:eastAsia="Arial" w:hAnsi="Arial"/>
          <w:color w:val="444444"/>
          <w:sz w:val="20"/>
          <w:szCs w:val="20"/>
          <w:rtl w:val="0"/>
        </w:rPr>
        <w:t xml:space="preserve">the bigger apprentice hiring credit.</w:t>
      </w:r>
    </w:p>
    <w:p>
      <w:pPr>
        <w:keepNext/>
        <w:spacing w:before="70" w:after="30" w:line="250" w:lineRule="auto"/>
        <w:rPr/>
      </w:pPr>
      <w:r>
        <w:rPr>
          <w:rFonts w:ascii="Arial" w:cs="Arial" w:eastAsia="Arial" w:hAnsi="Arial"/>
          <w:b w:val="1"/>
          <w:bCs w:val="1"/>
          <w:color w:val="2e4a78"/>
          <w:sz w:val="24"/>
          <w:szCs w:val="24"/>
          <w:rtl w:val="0"/>
        </w:rPr>
        <w:t xml:space="preserve">Proven support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H4252 (2022): </w:t>
      </w:r>
      <w:r>
        <w:rPr>
          <w:rFonts w:ascii="Arial" w:cs="Arial" w:eastAsia="Arial" w:hAnsi="Arial"/>
          <w:color w:val="444444"/>
          <w:sz w:val="20"/>
          <w:szCs w:val="20"/>
          <w:rtl w:val="0"/>
        </w:rPr>
        <w:t xml:space="preserve">the Redline Enterprise Zone Act — targeted hiring and investment incentives; House 103–2, died in Senate Finance.</w:t>
      </w:r>
    </w:p>
    <w:p>
      <w:pPr>
        <w:keepNext/>
        <w:spacing w:before="70" w:after="30" w:line="250" w:lineRule="auto"/>
        <w:rPr/>
      </w:pPr>
      <w:r>
        <w:rPr>
          <w:rFonts w:ascii="Arial" w:cs="Arial" w:eastAsia="Arial" w:hAnsi="Arial"/>
          <w:b w:val="1"/>
          <w:bCs w:val="1"/>
          <w:color w:val="2e4a78"/>
          <w:sz w:val="24"/>
          <w:szCs w:val="24"/>
          <w:rtl w:val="0"/>
        </w:rPr>
        <w:t xml:space="preserve">Stopped early (the tax-credit versions)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H4603 (2026): </w:t>
      </w:r>
      <w:r>
        <w:rPr>
          <w:rFonts w:ascii="Arial" w:cs="Arial" w:eastAsia="Arial" w:hAnsi="Arial"/>
          <w:color w:val="444444"/>
          <w:sz w:val="20"/>
          <w:szCs w:val="20"/>
          <w:rtl w:val="0"/>
        </w:rPr>
        <w:t xml:space="preserve">the Small Business Livable Wage Tax Credit Act — an income tax credit for small employers paying nonexempt workers at or above a livable wage; died in House Ways and Means without a vote. The closest filed bill to this proposal, and the record's one design aimed at small businesses specifically.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H4245 (2025): </w:t>
      </w:r>
      <w:r>
        <w:rPr>
          <w:rFonts w:ascii="Arial" w:cs="Arial" w:eastAsia="Arial" w:hAnsi="Arial"/>
          <w:color w:val="444444"/>
          <w:sz w:val="20"/>
          <w:szCs w:val="20"/>
          <w:rtl w:val="0"/>
        </w:rPr>
        <w:t xml:space="preserve">tax relief for people leaving public assistance plus credits for businesses that hire and retain them; same committee, same result.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S398 (2021): </w:t>
      </w:r>
      <w:r>
        <w:rPr>
          <w:rFonts w:ascii="Arial" w:cs="Arial" w:eastAsia="Arial" w:hAnsi="Arial"/>
          <w:color w:val="444444"/>
          <w:sz w:val="20"/>
          <w:szCs w:val="20"/>
          <w:rtl w:val="0"/>
        </w:rPr>
        <w:t xml:space="preserve">the accountability variant — job, wage, and health-care obligations on companies receiving state subsidies, with clawbacks; died in Senate Labor, Commerce and Industry.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H3774 / S489 (2021): </w:t>
      </w:r>
      <w:r>
        <w:rPr>
          <w:rFonts w:ascii="Arial" w:cs="Arial" w:eastAsia="Arial" w:hAnsi="Arial"/>
          <w:color w:val="444444"/>
          <w:sz w:val="20"/>
          <w:szCs w:val="20"/>
          <w:rtl w:val="0"/>
        </w:rPr>
        <w:t xml:space="preserve">Enterprise Zone Act credits for professional employer organizations; died in the money committees.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H4174 (2025): </w:t>
      </w:r>
      <w:r>
        <w:rPr>
          <w:rFonts w:ascii="Arial" w:cs="Arial" w:eastAsia="Arial" w:hAnsi="Arial"/>
          <w:color w:val="444444"/>
          <w:sz w:val="20"/>
          <w:szCs w:val="20"/>
          <w:rtl w:val="0"/>
        </w:rPr>
        <w:t xml:space="preserve">job development credit changes; died in House Ways and Means.</w:t>
      </w:r>
    </w:p>
    <w:p>
      <w:pPr>
        <w:keepNext/>
        <w:spacing w:before="70" w:after="30" w:line="250" w:lineRule="auto"/>
        <w:rPr/>
      </w:pPr>
      <w:r>
        <w:rPr>
          <w:rFonts w:ascii="Arial" w:cs="Arial" w:eastAsia="Arial" w:hAnsi="Arial"/>
          <w:b w:val="1"/>
          <w:bCs w:val="1"/>
          <w:color w:val="2e4a78"/>
          <w:sz w:val="24"/>
          <w:szCs w:val="24"/>
          <w:rtl w:val="0"/>
        </w:rPr>
        <w:t xml:space="preserve">Never filed (the direct-bonus version)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No bill in this record proposes direct state bonus payments to employers tied to the wages they pay. The nearest grant-type mechanism filed — the Headquarters Relocation and Growth Fund (H5471 / S1118, 2026), direct grants to businesses — is tied to headquarters location, not wage levels, and died in the money committees. The funding question participants disagreed on is, in this record, decided in House Ways and Means and Senate Finance: every bill above stopped in one of those two rooms.</w:t>
      </w:r>
    </w:p>
    <w:p>
      <w:pPr>
        <w:keepNext/>
        <w:spacing w:before="70" w:after="30" w:line="250" w:lineRule="auto"/>
        <w:rPr/>
      </w:pPr>
      <w:r>
        <w:rPr>
          <w:rFonts w:ascii="Arial" w:cs="Arial" w:eastAsia="Arial" w:hAnsi="Arial"/>
          <w:b w:val="1"/>
          <w:bCs w:val="1"/>
          <w:color w:val="2e4a78"/>
          <w:sz w:val="24"/>
          <w:szCs w:val="24"/>
          <w:rtl w:val="0"/>
        </w:rPr>
        <w:t xml:space="preserve">The county channel (context)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Counties already make their own incentive deals with companies: property-tax discounts that state law lets a county council negotiate, called fee-in-lieu-of-taxes agreements, usually tied to promised jobs and investment. Those are deal-by-deal county decisions, not bills, so they sit outside this legislative record. No bill in this record connects that county channel to the wages a company pays — every wage-linked incentive filed so far is a state tax credit.</w:t>
      </w:r>
    </w:p>
    <w:p>
      <w:pPr>
        <w:pBdr>
          <w:top w:color="c8cdd6" w:space="4" w:sz="6" w:val="single"/>
        </w:pBdr>
        <w:spacing w:before="40" w:after="0" w:line="276" w:lineRule="auto"/>
        <w:rPr/>
      </w:pPr>
    </w:p>
    <w:p>
      <w:pPr>
        <w:keepNext/>
        <w:spacing w:before="100" w:after="40" w:line="276" w:lineRule="auto"/>
        <w:rPr/>
        <w:sectPr>
          <w:footerReference r:id="rId7" w:type="default"/>
          <w:pgSz w:h="15840" w:w="12240" w:orient="portrait"/>
          <w:pgMar w:bottom="864" w:top="864" w:left="864" w:right="864" w:header="720" w:footer="144"/>
          <w:pgNumType w:start="1"/>
        </w:sect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Apprenticeship Carolina:</w:t>
      </w:r>
      <w:r>
        <w:rPr>
          <w:rFonts w:ascii="Arial" w:cs="Arial" w:eastAsia="Arial" w:hAnsi="Arial"/>
          <w:color w:val="444444"/>
          <w:sz w:val="20"/>
          <w:szCs w:val="20"/>
          <w:rtl w:val="0"/>
        </w:rPr>
        <w:t xml:space="preserve"> The SC Technical College System division that recruits employers into registered apprenticeships; the budget names it the state's lead apprenticeship agency.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Apprentice tax credit:</w:t>
      </w:r>
      <w:r>
        <w:rPr>
          <w:rFonts w:ascii="Arial" w:cs="Arial" w:eastAsia="Arial" w:hAnsi="Arial"/>
          <w:color w:val="444444"/>
          <w:sz w:val="20"/>
          <w:szCs w:val="20"/>
          <w:rtl w:val="0"/>
        </w:rPr>
        <w:t xml:space="preserve"> A state income tax credit for employers with registered apprentices; raised and extended by S557 (Act 188 of 2024) and open to any employer with a registered apprentice.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Ban the box:</w:t>
      </w:r>
      <w:r>
        <w:rPr>
          <w:rFonts w:ascii="Arial" w:cs="Arial" w:eastAsia="Arial" w:hAnsi="Arial"/>
          <w:color w:val="444444"/>
          <w:sz w:val="20"/>
          <w:szCs w:val="20"/>
          <w:rtl w:val="0"/>
        </w:rPr>
        <w:t xml:space="preserve"> Barring the state from asking about criminal history until later in hiring; filed twice (S549, S25), never voted 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Dual enrollment:</w:t>
      </w:r>
      <w:r>
        <w:rPr>
          <w:rFonts w:ascii="Arial" w:cs="Arial" w:eastAsia="Arial" w:hAnsi="Arial"/>
          <w:color w:val="444444"/>
          <w:sz w:val="20"/>
          <w:szCs w:val="20"/>
          <w:rtl w:val="0"/>
        </w:rPr>
        <w:t xml:space="preserve"> High-school students taking college or technical courses for credit.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Earned wage access:</w:t>
      </w:r>
      <w:r>
        <w:rPr>
          <w:rFonts w:ascii="Arial" w:cs="Arial" w:eastAsia="Arial" w:hAnsi="Arial"/>
          <w:color w:val="444444"/>
          <w:sz w:val="20"/>
          <w:szCs w:val="20"/>
          <w:rtl w:val="0"/>
        </w:rPr>
        <w:t xml:space="preserve"> Services that let workers draw pay they have already earned before payday; consumer rules enacted by S700 (Act 190 of 2024).</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Employment First:</w:t>
      </w:r>
      <w:r>
        <w:rPr>
          <w:rFonts w:ascii="Arial" w:cs="Arial" w:eastAsia="Arial" w:hAnsi="Arial"/>
          <w:color w:val="444444"/>
          <w:sz w:val="20"/>
          <w:szCs w:val="20"/>
          <w:rtl w:val="0"/>
        </w:rPr>
        <w:t xml:space="preserve"> State policy favoring competitive, integrated employment for people with disabilities; enacted inside S533.</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Federal minimum wage / FLSA:</w:t>
      </w:r>
      <w:r>
        <w:rPr>
          <w:rFonts w:ascii="Arial" w:cs="Arial" w:eastAsia="Arial" w:hAnsi="Arial"/>
          <w:color w:val="444444"/>
          <w:sz w:val="20"/>
          <w:szCs w:val="20"/>
          <w:rtl w:val="0"/>
        </w:rPr>
        <w:t xml:space="preserve"> The $7.25-an-hour federal floor under the Fair Labor Standards Act — the wage law that actually binds in South Carolina, which has no state minimum. The FLSA also lets employers pay workers under 20 a $4.25 youth wage for their first 90 days.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Fee-in-lieu-of-taxes (FILOT) agreement:</w:t>
      </w:r>
      <w:r>
        <w:rPr>
          <w:rFonts w:ascii="Arial" w:cs="Arial" w:eastAsia="Arial" w:hAnsi="Arial"/>
          <w:color w:val="444444"/>
          <w:sz w:val="20"/>
          <w:szCs w:val="20"/>
          <w:rtl w:val="0"/>
        </w:rPr>
        <w:t xml:space="preserve"> A property-tax discount a county council can negotiate with a company under state law, usually tied to promised jobs and investment. These are deal-by-deal county decisions, not legislation, and none is tied to the wages a company pays.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Job development credits:</w:t>
      </w:r>
      <w:r>
        <w:rPr>
          <w:rFonts w:ascii="Arial" w:cs="Arial" w:eastAsia="Arial" w:hAnsi="Arial"/>
          <w:color w:val="444444"/>
          <w:sz w:val="20"/>
          <w:szCs w:val="20"/>
          <w:rtl w:val="0"/>
        </w:rPr>
        <w:t xml:space="preserve"> The state's existing wage-linked hiring incentive — approved companies keep part of employee withholding, with the amount keyed to wage levels.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Livable (living) wage:</w:t>
      </w:r>
      <w:r>
        <w:rPr>
          <w:rFonts w:ascii="Arial" w:cs="Arial" w:eastAsia="Arial" w:hAnsi="Arial"/>
          <w:color w:val="444444"/>
          <w:sz w:val="20"/>
          <w:szCs w:val="20"/>
          <w:rtl w:val="0"/>
        </w:rPr>
        <w:t xml:space="preserve"> Pay high enough to cover basic living costs; H4603 would define it for a small-business tax credit.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Local preemption:</w:t>
      </w:r>
      <w:r>
        <w:rPr>
          <w:rFonts w:ascii="Arial" w:cs="Arial" w:eastAsia="Arial" w:hAnsi="Arial"/>
          <w:color w:val="444444"/>
          <w:sz w:val="20"/>
          <w:szCs w:val="20"/>
          <w:rtl w:val="0"/>
        </w:rPr>
        <w:t xml:space="preserve"> State law bars cities and counties from making private employers pay more than the minimum wage. It does not stop them from raising pay for their own workers or in their own contracts — Charleston's city and county governments both pay their employees at least $15 an hour. The filed minimum-wage bills kept this ban while setting a statewide floor.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Proviso / Part IB:</w:t>
      </w:r>
      <w:r>
        <w:rPr>
          <w:rFonts w:ascii="Arial" w:cs="Arial" w:eastAsia="Arial" w:hAnsi="Arial"/>
          <w:color w:val="444444"/>
          <w:sz w:val="20"/>
          <w:szCs w:val="20"/>
          <w:rtl w:val="0"/>
        </w:rPr>
        <w:t xml:space="preserve"> A one-year policy rule enacted inside the annual state budget bill; Part IB is the budget section that carries them. Votes attach to the whole budget bill, never one proviso.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Registered apprenticeship:</w:t>
      </w:r>
      <w:r>
        <w:rPr>
          <w:rFonts w:ascii="Arial" w:cs="Arial" w:eastAsia="Arial" w:hAnsi="Arial"/>
          <w:color w:val="444444"/>
          <w:sz w:val="20"/>
          <w:szCs w:val="20"/>
          <w:rtl w:val="0"/>
        </w:rPr>
        <w:t xml:space="preserve"> An apprenticeship registered with the U.S. Department of Labor — paid work plus structured training.</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SC WINS:</w:t>
      </w:r>
      <w:r>
        <w:rPr>
          <w:rFonts w:ascii="Arial" w:cs="Arial" w:eastAsia="Arial" w:hAnsi="Arial"/>
          <w:color w:val="444444"/>
          <w:sz w:val="20"/>
          <w:szCs w:val="20"/>
          <w:rtl w:val="0"/>
        </w:rPr>
        <w:t xml:space="preserve"> The South Carolina Workforce Industry Needs Scholarship for technical college students in high-demand fields; created in statute by H3144, funded each year by lottery provisos ($17M–$93.7M).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Skills-based hiring:</w:t>
      </w:r>
      <w:r>
        <w:rPr>
          <w:rFonts w:ascii="Arial" w:cs="Arial" w:eastAsia="Arial" w:hAnsi="Arial"/>
          <w:color w:val="444444"/>
          <w:sz w:val="20"/>
          <w:szCs w:val="20"/>
          <w:rtl w:val="0"/>
        </w:rPr>
        <w:t xml:space="preserve"> Filling state jobs based on skills and experience rather than degree requirements; passed the Senate 42–0 in 2024, not yet law.</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Subminimum wage:</w:t>
      </w:r>
      <w:r>
        <w:rPr>
          <w:rFonts w:ascii="Arial" w:cs="Arial" w:eastAsia="Arial" w:hAnsi="Arial"/>
          <w:color w:val="444444"/>
          <w:sz w:val="20"/>
          <w:szCs w:val="20"/>
          <w:rtl w:val="0"/>
        </w:rPr>
        <w:t xml:space="preserve"> Pay below the minimum wage under a federal certificate, historically allowed for workers with disabilities; banned in South Carolina by S533 (Act 209 of 2022).</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Technical college system:</w:t>
      </w:r>
      <w:r>
        <w:rPr>
          <w:rFonts w:ascii="Arial" w:cs="Arial" w:eastAsia="Arial" w:hAnsi="Arial"/>
          <w:color w:val="444444"/>
          <w:sz w:val="20"/>
          <w:szCs w:val="20"/>
          <w:rtl w:val="0"/>
        </w:rPr>
        <w:t xml:space="preserve"> The state's 16 two-year colleges, governed by the State Board for Technical and Comprehensive Education (TEC in proviso citations).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Wage board:</w:t>
      </w:r>
      <w:r>
        <w:rPr>
          <w:rFonts w:ascii="Arial" w:cs="Arial" w:eastAsia="Arial" w:hAnsi="Arial"/>
          <w:color w:val="444444"/>
          <w:sz w:val="20"/>
          <w:szCs w:val="20"/>
          <w:rtl w:val="0"/>
        </w:rPr>
        <w:t xml:space="preserve"> A panel that sets minimum pay rates occupation by occupation; proposed by H3735 (2025), which died in its first committee.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Workforce development / DEW:</w:t>
      </w:r>
      <w:r>
        <w:rPr>
          <w:rFonts w:ascii="Arial" w:cs="Arial" w:eastAsia="Arial" w:hAnsi="Arial"/>
          <w:color w:val="444444"/>
          <w:sz w:val="20"/>
          <w:szCs w:val="20"/>
          <w:rtl w:val="0"/>
        </w:rPr>
        <w:t xml:space="preserve"> Programs moving people into better-paying jobs; the Department of Employment and Workforce runs unemployment insurance and workforce services, and H3726 created a statewide workforce-development office and plan.</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Youth wage:</w:t>
      </w:r>
      <w:r>
        <w:rPr>
          <w:rFonts w:ascii="Arial" w:cs="Arial" w:eastAsia="Arial" w:hAnsi="Arial"/>
          <w:color w:val="444444"/>
          <w:sz w:val="20"/>
          <w:szCs w:val="20"/>
          <w:rtl w:val="0"/>
        </w:rPr>
        <w:t xml:space="preserve"> A lower minimum wage for younger workers. Federal law allows $4.25 an hour for workers under 20 in their first 90 days; no South Carolina bill has proposed a state version.</w:t>
      </w:r>
    </w:p>
    <w:p>
      <w:pPr>
        <w:keepNext/>
        <w:spacing w:before="100" w:after="40" w:line="276" w:lineRule="auto"/>
        <w:rPr/>
        <w:sectPr>
          <w:type w:val="continuous"/>
          <w:pgSz w:h="15840" w:w="12240" w:orient="portrait"/>
          <w:pgMar w:bottom="864" w:top="864" w:left="864" w:right="864" w:header="720" w:footer="720"/>
        </w:sect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 / S bill numbers:</w:t>
      </w:r>
      <w:r>
        <w:rPr>
          <w:rFonts w:ascii="Arial" w:cs="Arial" w:eastAsia="Arial" w:hAnsi="Arial"/>
          <w:color w:val="444444"/>
          <w:sz w:val="20"/>
          <w:szCs w:val="20"/>
          <w:rtl w:val="0"/>
        </w:rPr>
        <w:t xml:space="preserve"> The chamber a bill started in (House or Senate) plus its number. Numbering restarts every two-year General Assembly, so the same number in different sessions is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General Assembly / session:</w:t>
      </w:r>
      <w:r>
        <w:rPr>
          <w:rFonts w:ascii="Arial" w:cs="Arial" w:eastAsia="Arial" w:hAnsi="Arial"/>
          <w:color w:val="444444"/>
          <w:sz w:val="20"/>
          <w:szCs w:val="20"/>
          <w:rtl w:val="0"/>
        </w:rPr>
        <w:t xml:space="preserve"> The legislature elected for two years — the 123rd (2019–2020) through the 126th (2025–2026) appear in this brief. It meets each January; a bill filed in the first year stays alive into the second, and everything unpassed dies when the second year ends.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124-member House of Representatives and the 46-member Senate; a bill must pass both to reach the Governor. Vote totals below those figures reflect absences.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Prefiled:</w:t>
      </w:r>
      <w:r>
        <w:rPr>
          <w:rFonts w:ascii="Arial" w:cs="Arial" w:eastAsia="Arial" w:hAnsi="Arial"/>
          <w:color w:val="444444"/>
          <w:sz w:val="20"/>
          <w:szCs w:val="20"/>
          <w:rtl w:val="0"/>
        </w:rPr>
        <w:t xml:space="preserve"> Filed in the weeks before the January session begins.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First committee:</w:t>
      </w:r>
      <w:r>
        <w:rPr>
          <w:rFonts w:ascii="Arial" w:cs="Arial" w:eastAsia="Arial" w:hAnsi="Arial"/>
          <w:color w:val="444444"/>
          <w:sz w:val="20"/>
          <w:szCs w:val="20"/>
          <w:rtl w:val="0"/>
        </w:rPr>
        <w:t xml:space="preserve"> The committee a bill is sent to after introduction. Most bills that fail die there, with no further action recorded — in this record, every minimum-wage and equal-pay bill did.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w:t>
      </w:r>
      <w:r>
        <w:rPr>
          <w:rFonts w:ascii="Arial" w:cs="Arial" w:eastAsia="Arial" w:hAnsi="Arial"/>
          <w:color w:val="444444"/>
          <w:sz w:val="20"/>
          <w:szCs w:val="20"/>
          <w:rtl w:val="0"/>
        </w:rPr>
        <w:t xml:space="preserve"> The committee's published outcome — "Favorable" or "Favorable with amendment." South Carolina publishes these outcomes but never committee vote tallies, so no committee vote counts exist anywhere in these documents.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Readings:</w:t>
      </w:r>
      <w:r>
        <w:rPr>
          <w:rFonts w:ascii="Arial" w:cs="Arial" w:eastAsia="Arial" w:hAnsi="Arial"/>
          <w:color w:val="444444"/>
          <w:sz w:val="20"/>
          <w:szCs w:val="20"/>
          <w:rtl w:val="0"/>
        </w:rPr>
        <w:t xml:space="preserve"> A bill passes a chamber through three readings; the recorded roll calls in these documents attach to second or third reading, or to "Passage of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vote pairs (e.g. 105–1 and 40–0):</w:t>
      </w:r>
      <w:r>
        <w:rPr>
          <w:rFonts w:ascii="Arial" w:cs="Arial" w:eastAsia="Arial" w:hAnsi="Arial"/>
          <w:color w:val="444444"/>
          <w:sz w:val="20"/>
          <w:szCs w:val="20"/>
          <w:rtl w:val="0"/>
        </w:rPr>
        <w:t xml:space="preserve"> Yes–no floor tallies, one per chamber — the first number in a pair is usually the House, the second the Senate.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Second chamber:</w:t>
      </w:r>
      <w:r>
        <w:rPr>
          <w:rFonts w:ascii="Arial" w:cs="Arial" w:eastAsia="Arial" w:hAnsi="Arial"/>
          <w:color w:val="444444"/>
          <w:sz w:val="20"/>
          <w:szCs w:val="20"/>
          <w:rtl w:val="0"/>
        </w:rPr>
        <w:t xml:space="preserve"> After passing its own chamber, a bill repeats the whole process — committee, then floor — in the other one. In this record, that second committee stop is where most advanced bills died: the skills-based hiring, workforce-readiness, and hiring-credit bills all ended there.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Conference committee:</w:t>
      </w:r>
      <w:r>
        <w:rPr>
          <w:rFonts w:ascii="Arial" w:cs="Arial" w:eastAsia="Arial" w:hAnsi="Arial"/>
          <w:color w:val="444444"/>
          <w:sz w:val="20"/>
          <w:szCs w:val="20"/>
          <w:rtl w:val="0"/>
        </w:rPr>
        <w:t xml:space="preserve"> Negotiators from both chambers who reconcile differing versions; a bill dies there if the session ends first — the fate of the Employment First bill (H3244, 2021) a year before its content passed as S533.</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Ratified / R number:</w:t>
      </w:r>
      <w:r>
        <w:rPr>
          <w:rFonts w:ascii="Arial" w:cs="Arial" w:eastAsia="Arial" w:hAnsi="Arial"/>
          <w:color w:val="444444"/>
          <w:sz w:val="20"/>
          <w:szCs w:val="20"/>
          <w:rtl w:val="0"/>
        </w:rPr>
        <w:t xml:space="preserve"> After both chambers pass identical text, the bill is ratified and numbered (R185) before going to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Act number:</w:t>
      </w:r>
      <w:r>
        <w:rPr>
          <w:rFonts w:ascii="Arial" w:cs="Arial" w:eastAsia="Arial" w:hAnsi="Arial"/>
          <w:color w:val="444444"/>
          <w:sz w:val="20"/>
          <w:szCs w:val="20"/>
          <w:rtl w:val="0"/>
        </w:rPr>
        <w:t xml:space="preserve"> A signed bill becomes a numbered act of its year — "Act 188 of 2024"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 can reject a passed bill; the General Assembly can override with a two-thirds vote in each chamber. No bill in this record was vetoed.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Advisory referendum:</w:t>
      </w:r>
      <w:r>
        <w:rPr>
          <w:rFonts w:ascii="Arial" w:cs="Arial" w:eastAsia="Arial" w:hAnsi="Arial"/>
          <w:color w:val="444444"/>
          <w:sz w:val="20"/>
          <w:szCs w:val="20"/>
          <w:rtl w:val="0"/>
        </w:rPr>
        <w:t xml:space="preserve"> A ballot question asking voters' opinion without changing law by itself; two minimum-wage versions were filed and died in committee.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Joint resolution:</w:t>
      </w:r>
      <w:r>
        <w:rPr>
          <w:rFonts w:ascii="Arial" w:cs="Arial" w:eastAsia="Arial" w:hAnsi="Arial"/>
          <w:color w:val="444444"/>
          <w:sz w:val="20"/>
          <w:szCs w:val="20"/>
          <w:rtl w:val="0"/>
        </w:rPr>
        <w:t xml:space="preserve"> A measure with the force of law used for single actions — including constitutional amendments and the minimum-wage ballot questions in this record.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proviso (Part IB):</w:t>
      </w:r>
      <w:r>
        <w:rPr>
          <w:rFonts w:ascii="Arial" w:cs="Arial" w:eastAsia="Arial" w:hAnsi="Arial"/>
          <w:color w:val="444444"/>
          <w:sz w:val="20"/>
          <w:szCs w:val="20"/>
          <w:rtl w:val="0"/>
        </w:rPr>
        <w:t xml:space="preserve"> South Carolina's counterpart to other states' budget riders: one-year policy rules enacted inside the annual appropriations act, where the apprenticeship lead-agency role, WINS funding, and state-employee raises in this brief live. Votes are on the whole budget bill, never on one proviso.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lead sponsor:</w:t>
      </w:r>
      <w:r>
        <w:rPr>
          <w:rFonts w:ascii="Arial" w:cs="Arial" w:eastAsia="Arial" w:hAnsi="Arial"/>
          <w:color w:val="444444"/>
          <w:sz w:val="20"/>
          <w:szCs w:val="20"/>
          <w:rtl w:val="0"/>
        </w:rPr>
        <w:t xml:space="preserve"> The lawmakers who formally introduce a bill; the first member on the official sponsor line is its lead. Party labels appear nowhere in these documents because the roster join was deliberately not fetched.</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"Died at the session's end":</w:t>
      </w:r>
      <w:r>
        <w:rPr>
          <w:rFonts w:ascii="Arial" w:cs="Arial" w:eastAsia="Arial" w:hAnsi="Arial"/>
          <w:color w:val="444444"/>
          <w:sz w:val="20"/>
          <w:szCs w:val="20"/>
          <w:rtl w:val="0"/>
        </w:rPr>
        <w:t xml:space="preserve"> The bill cleared every vote it faced but ran out of calendar — a timing stop, not a recorded "no."</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SC1 Slow Wage Growth Legislative Brief v1.2</w:t>
      <w:tab/>
      <w:tab/>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