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20" w:lineRule="auto" w:line="254"/>
      </w:pPr>
      <w:r>
        <w:rPr>
          <w:rFonts w:ascii="Arial" w:hAnsi="Arial" w:cs="Arial" w:eastAsia="Arial"/>
          <w:b/>
          <w:color w:val="1A2D4F"/>
          <w:sz w:val="20"/>
          <w:spacing w:val="20"/>
        </w:rPr>
        <w:t>T H E   F O R U M</w:t>
      </w:r>
    </w:p>
    <w:p>
      <w:pPr>
        <w:widowControl/>
        <w:spacing w:before="0" w:after="120" w:lineRule="auto" w:line="254"/>
        <w:pBdr>
          <w:bottom w:val="single" w:sz="20" w:space="2" w:color="1A2D4F"/>
        </w:pBdr>
      </w:pPr>
    </w:p>
    <w:p>
      <w:pPr>
        <w:widowControl/>
        <w:spacing w:before="0" w:after="40" w:lineRule="auto" w:line="252"/>
      </w:pPr>
      <w:r>
        <w:rPr>
          <w:rFonts w:ascii="Arial" w:hAnsi="Arial" w:cs="Arial" w:eastAsia="Arial"/>
          <w:b/>
          <w:color w:val="1A2D4F"/>
          <w:sz w:val="36"/>
        </w:rPr>
        <w:t>Policy Spotlights — Responsive Elected Leaders Brief</w:t>
      </w:r>
    </w:p>
    <w:p>
      <w:pPr>
        <w:widowControl/>
        <w:spacing w:before="0" w:after="120" w:lineRule="auto" w:line="254"/>
      </w:pPr>
      <w:r>
        <w:rPr>
          <w:rFonts w:ascii="Arial" w:hAnsi="Arial" w:cs="Arial" w:eastAsia="Arial"/>
          <w:b w:val="0"/>
          <w:color w:val="444444"/>
          <w:sz w:val="20"/>
        </w:rPr>
        <w:t>A focused, bill-by-bill look at how far each proposal in the final Community Conversations grid has traveled in the General Assembly, 2019–2026, with the record facts that speak to the concerns participants raised. Each proposal is sorted into viability groups — already law, got support, stopped early, never filed. Proposal frequency, consensus, and concerns are Forum process input from the Community Conversations, labeled [P-…]; the legislative facts come from the official record.</w:t>
      </w:r>
    </w:p>
    <w:p>
      <w:pPr>
        <w:widowControl/>
        <w:spacing w:before="84" w:after="36" w:lineRule="auto" w:line="254"/>
      </w:pPr>
      <w:r>
        <w:rPr>
          <w:rFonts w:ascii="Arial" w:hAnsi="Arial" w:cs="Arial" w:eastAsia="Arial"/>
          <w:b/>
          <w:color w:val="C0392B"/>
          <w:sz w:val="25"/>
          <w:spacing w:val="20"/>
        </w:rPr>
        <w:t>INDEPENDENT / NONPARTISAN REDISTRICTING COMMISSION (ANTI-GERRYMANDERING) [P-INDEPENDENT-REDISTRICTING]</w:t>
      </w:r>
    </w:p>
    <w:p>
      <w:pPr>
        <w:widowControl/>
        <w:spacing w:before="0" w:after="60" w:lineRule="auto" w:line="276"/>
      </w:pPr>
      <w:r>
        <w:rPr>
          <w:rFonts w:ascii="Arial" w:hAnsi="Arial" w:cs="Arial" w:eastAsia="Arial"/>
          <w:b w:val="0"/>
          <w:i/>
          <w:color w:val="666666"/>
          <w:sz w:val="20"/>
        </w:rPr>
        <w:t>Reported: appeared in three of four in-person events; very strong support where discussed. Concerns raised: how independent the commission would be; keeping redistricting on the ten-year cycle would help.</w:t>
      </w:r>
    </w:p>
    <w:p>
      <w:pPr>
        <w:widowControl/>
        <w:spacing w:before="70" w:after="30" w:lineRule="auto" w:line="250"/>
      </w:pPr>
      <w:r>
        <w:rPr>
          <w:rFonts w:ascii="Arial" w:hAnsi="Arial" w:cs="Arial" w:eastAsia="Arial"/>
          <w:b/>
          <w:color w:val="2E4A78"/>
          <w:sz w:val="24"/>
        </w:rPr>
        <w:t>Stopped early (died in first committee, no hearing, no recorded vote) — all 21 bills</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Constitutional independent commission, maps approved by referendum:</w:t>
      </w:r>
      <w:r>
        <w:rPr>
          <w:rFonts w:ascii="Arial" w:hAnsi="Arial" w:cs="Arial" w:eastAsia="Arial"/>
          <w:b w:val="0"/>
          <w:color w:val="444444"/>
          <w:sz w:val="20"/>
        </w:rPr>
        <w:t xml:space="preserve"> H3044 and S6 (2019), H3279 and S561 (2021), H3173 (2023) — nine members chosen by a three-member Applicant Review Panel appointed by the State Inspector General, public deliberations, and voter approval of the maps by statewide referendum; S135 (2019) kept the nine-member referendum design with a different selection route. As constitutional amendments, these need a two-thirds vote of each chamber plus a referendum.</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Citizens Redistricting Commission:</w:t>
      </w:r>
      <w:r>
        <w:rPr>
          <w:rFonts w:ascii="Arial" w:hAnsi="Arial" w:cs="Arial" w:eastAsia="Arial"/>
          <w:b w:val="0"/>
          <w:color w:val="444444"/>
          <w:sz w:val="20"/>
        </w:rPr>
        <w:t xml:space="preserve"> H3432 and S254 (2019), H4201 and H4202 (2021), H3243 and H3245 (2023) — members appointed under State Ethics Commission oversight on the census cycle; the 2021 and 2023 versions bar any legislative or executive alteration of or veto over the final plan and forbid the General Assembly from adjourning for the year until it adopts the plan.</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Anti-Gerrymandering Act:</w:t>
      </w:r>
      <w:r>
        <w:rPr>
          <w:rFonts w:ascii="Arial" w:hAnsi="Arial" w:cs="Arial" w:eastAsia="Arial"/>
          <w:b w:val="0"/>
          <w:color w:val="444444"/>
          <w:sz w:val="20"/>
        </w:rPr>
        <w:t xml:space="preserve"> H4222 (2023) — twelve unpaid members appointed by the State Ethics Commission: five from the majority party, five from the largest minority party, two from other parties; the commission proposes ten candidate maps.</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Binding criteria, no commission:</w:t>
      </w:r>
      <w:r>
        <w:rPr>
          <w:rFonts w:ascii="Arial" w:hAnsi="Arial" w:cs="Arial" w:eastAsia="Arial"/>
          <w:b w:val="0"/>
          <w:color w:val="444444"/>
          <w:sz w:val="20"/>
        </w:rPr>
        <w:t xml:space="preserve"> the FAIR in Redistricting Act — H4229 and S750 (2021), H3069 (2023) — fairness standards and a public process for maps the General Assembly keeps drawing; H3054 and S230 (2019) — a commission appointed every ten years whose plans the legislature must adopt by a hard deadline, with no adjournment for the year until it does.</w:t>
      </w:r>
    </w:p>
    <w:p>
      <w:pPr>
        <w:widowControl/>
        <w:spacing w:before="70" w:after="30" w:lineRule="auto" w:line="250"/>
      </w:pPr>
      <w:r>
        <w:rPr>
          <w:rFonts w:ascii="Arial" w:hAnsi="Arial" w:cs="Arial" w:eastAsia="Arial"/>
          <w:b/>
          <w:color w:val="2E4A78"/>
          <w:sz w:val="24"/>
        </w:rPr>
        <w:t>What passed instead (the legislature's own maps)</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H4493 (Act 117 of 2021):</w:t>
      </w:r>
      <w:r>
        <w:rPr>
          <w:rFonts w:ascii="Arial" w:hAnsi="Arial" w:cs="Arial" w:eastAsia="Arial"/>
          <w:b w:val="0"/>
          <w:color w:val="444444"/>
          <w:sz w:val="20"/>
        </w:rPr>
        <w:t xml:space="preserve"> the new House districts; House 96–14 and 100–15, Senate 43–1.</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S865 (Act 118 of 2022):</w:t>
      </w:r>
      <w:r>
        <w:rPr>
          <w:rFonts w:ascii="Arial" w:hAnsi="Arial" w:cs="Arial" w:eastAsia="Arial"/>
          <w:b w:val="0"/>
          <w:color w:val="444444"/>
          <w:sz w:val="20"/>
        </w:rPr>
        <w:t xml:space="preserve"> the new Senate and congressional districts; Senate 41–2, House 74–35 and 68–36.</w:t>
      </w:r>
    </w:p>
    <w:p>
      <w:pPr>
        <w:widowControl/>
        <w:spacing w:before="70" w:after="30" w:lineRule="auto" w:line="250"/>
      </w:pPr>
      <w:r>
        <w:rPr>
          <w:rFonts w:ascii="Arial" w:hAnsi="Arial" w:cs="Arial" w:eastAsia="Arial"/>
          <w:b/>
          <w:color w:val="2E4A78"/>
          <w:sz w:val="24"/>
        </w:rPr>
        <w:t>On the ten-year-cycle concern</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val="0"/>
          <w:color w:val="444444"/>
          <w:sz w:val="20"/>
        </w:rPr>
        <w:t>Every filed commission design keys its appointments to the decennial census (the citizens-commission bills convene in years ending in "1").</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val="0"/>
          <w:color w:val="444444"/>
          <w:sz w:val="20"/>
        </w:rPr>
        <w:t xml:space="preserve">The record's one attempt to redraw between censuses came from the legislature itself: </w:t>
      </w:r>
      <w:r>
        <w:rPr>
          <w:rFonts w:ascii="Arial" w:hAnsi="Arial" w:cs="Arial" w:eastAsia="Arial"/>
          <w:b/>
          <w:color w:val="1A2D4F"/>
          <w:sz w:val="20"/>
        </w:rPr>
        <w:t>H5683 (2026)</w:t>
      </w:r>
      <w:r>
        <w:rPr>
          <w:rFonts w:ascii="Arial" w:hAnsi="Arial" w:cs="Arial" w:eastAsia="Arial"/>
          <w:b w:val="0"/>
          <w:color w:val="444444"/>
          <w:sz w:val="20"/>
        </w:rPr>
        <w:t xml:space="preserve"> would have redrawn the congressional districts starting with the 2026 election; it passed the House 74–37 near midnight after dozens of amendments were tabled (28 on roll-call votes, 55 tabling votes in all), and the Senate then voted 26–18 to continue (set aside) the bill, ending it for the session. A companion, </w:t>
      </w:r>
      <w:r>
        <w:rPr>
          <w:rFonts w:ascii="Arial" w:hAnsi="Arial" w:cs="Arial" w:eastAsia="Arial"/>
          <w:b/>
          <w:color w:val="1A2D4F"/>
          <w:sz w:val="20"/>
        </w:rPr>
        <w:t>H4717 (2026)</w:t>
      </w:r>
      <w:r>
        <w:rPr>
          <w:rFonts w:ascii="Arial" w:hAnsi="Arial" w:cs="Arial" w:eastAsia="Arial"/>
          <w:b w:val="0"/>
          <w:color w:val="444444"/>
          <w:sz w:val="20"/>
        </w:rPr>
        <w:t>, died in House Judiciary.</w:t>
      </w:r>
    </w:p>
    <w:p>
      <w:pPr>
        <w:widowControl/>
        <w:spacing w:before="70" w:after="30" w:lineRule="auto" w:line="250"/>
      </w:pPr>
      <w:r>
        <w:rPr>
          <w:rFonts w:ascii="Arial" w:hAnsi="Arial" w:cs="Arial" w:eastAsia="Arial"/>
          <w:b/>
          <w:color w:val="2E4A78"/>
          <w:sz w:val="24"/>
        </w:rPr>
        <w:t>Which maps these bills cover</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val="0"/>
          <w:color w:val="444444"/>
          <w:sz w:val="20"/>
        </w:rPr>
        <w:t>All twenty-one address the State House, State Senate, and congressional maps. County and city lines are different ground: county councils redraw their own district lines after each census under existing law (Section 4-9-90), cities redraw their own wards, and school-board lines usually move through separate local acts — roughly a dozen passed after the 2020 census (not counted in the twenty-one). A concern about a county or school-board map goes through those local processes and needs no new state law.</w:t>
      </w:r>
    </w:p>
    <w:p>
      <w:pPr>
        <w:widowControl/>
        <w:spacing w:before="70" w:after="30" w:lineRule="auto" w:line="250"/>
      </w:pPr>
      <w:r>
        <w:rPr>
          <w:rFonts w:ascii="Arial" w:hAnsi="Arial" w:cs="Arial" w:eastAsia="Arial"/>
          <w:b/>
          <w:color w:val="2E4A78"/>
          <w:sz w:val="24"/>
        </w:rPr>
        <w:t>Never filed</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val="0"/>
          <w:color w:val="444444"/>
          <w:sz w:val="20"/>
        </w:rPr>
        <w:t>No commission or criteria bill was filed in the 2025–2026 session — the first session in this record without one.</w:t>
      </w:r>
    </w:p>
    <w:p>
      <w:pPr>
        <w:widowControl/>
        <w:spacing w:before="84" w:after="36" w:lineRule="auto" w:line="254"/>
      </w:pPr>
      <w:r>
        <w:rPr>
          <w:rFonts w:ascii="Arial" w:hAnsi="Arial" w:cs="Arial" w:eastAsia="Arial"/>
          <w:b/>
          <w:color w:val="C0392B"/>
          <w:sz w:val="25"/>
          <w:spacing w:val="20"/>
        </w:rPr>
        <w:t>BETTER VOTER EDUCATION / CIVICS AND NEUTRAL CIVIC INFORMATION TOOLS [P-VOTER-CIVICS-EDUCATION]</w:t>
      </w:r>
    </w:p>
    <w:p>
      <w:pPr>
        <w:widowControl/>
        <w:spacing w:before="0" w:after="60" w:lineRule="auto" w:line="276"/>
      </w:pPr>
      <w:r>
        <w:rPr>
          <w:rFonts w:ascii="Arial" w:hAnsi="Arial" w:cs="Arial" w:eastAsia="Arial"/>
          <w:b w:val="0"/>
          <w:i/>
          <w:color w:val="666666"/>
          <w:sz w:val="20"/>
        </w:rPr>
        <w:t>Reported: appeared in Charleston and Columbia; very strong support where discussed. Concern raised: how neutral information would be selected and disseminated.</w:t>
      </w:r>
    </w:p>
    <w:p>
      <w:pPr>
        <w:widowControl/>
        <w:spacing w:before="70" w:after="30" w:lineRule="auto" w:line="250"/>
      </w:pPr>
      <w:r>
        <w:rPr>
          <w:rFonts w:ascii="Arial" w:hAnsi="Arial" w:cs="Arial" w:eastAsia="Arial"/>
          <w:b/>
          <w:color w:val="2E4A78"/>
          <w:sz w:val="24"/>
        </w:rPr>
        <w:t>Already law</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S38 (Act 26 of 2021), the REACH Act:</w:t>
      </w:r>
      <w:r>
        <w:rPr>
          <w:rFonts w:ascii="Arial" w:hAnsi="Arial" w:cs="Arial" w:eastAsia="Arial"/>
          <w:b w:val="0"/>
          <w:color w:val="444444"/>
          <w:sz w:val="20"/>
        </w:rPr>
        <w:t xml:space="preserve"> every public college student completes instruction on the founding documents; Senate 45–0, House 91–12.</w:t>
      </w:r>
    </w:p>
    <w:p>
      <w:pPr>
        <w:widowControl/>
        <w:spacing w:before="70" w:after="30" w:lineRule="auto" w:line="250"/>
      </w:pPr>
      <w:r>
        <w:rPr>
          <w:rFonts w:ascii="Arial" w:hAnsi="Arial" w:cs="Arial" w:eastAsia="Arial"/>
          <w:b/>
          <w:color w:val="2E4A78"/>
          <w:sz w:val="24"/>
        </w:rPr>
        <w:t>Got support but didn't finish</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S35 (2019):</w:t>
      </w:r>
      <w:r>
        <w:rPr>
          <w:rFonts w:ascii="Arial" w:hAnsi="Arial" w:cs="Arial" w:eastAsia="Arial"/>
          <w:b w:val="0"/>
          <w:color w:val="444444"/>
          <w:sz w:val="20"/>
        </w:rPr>
        <w:t xml:space="preserve"> the REACH Act's first run; passed the Senate 29–7 and died in House Education and Public Works. (House versions H4296 (2019) and H3338 (2021) died in committee.)</w:t>
      </w:r>
    </w:p>
    <w:p>
      <w:pPr>
        <w:widowControl/>
        <w:spacing w:before="70" w:after="30" w:lineRule="auto" w:line="250"/>
      </w:pPr>
      <w:r>
        <w:rPr>
          <w:rFonts w:ascii="Arial" w:hAnsi="Arial" w:cs="Arial" w:eastAsia="Arial"/>
          <w:b/>
          <w:color w:val="2E4A78"/>
          <w:sz w:val="24"/>
        </w:rPr>
        <w:t>Stopped early (died in first committee, no recorded vote)</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H3547 (2025):</w:t>
      </w:r>
      <w:r>
        <w:rPr>
          <w:rFonts w:ascii="Arial" w:hAnsi="Arial" w:cs="Arial" w:eastAsia="Arial"/>
          <w:b w:val="0"/>
          <w:color w:val="444444"/>
          <w:sz w:val="20"/>
        </w:rPr>
        <w:t xml:space="preserve"> the design closest to the proposal — every middle schooler completes a civics unit with instructional and hands-on components, plus the statewide Palmetto Middle School Civics Challenge for student-led projects; the State Board of Education would adopt the curriculum before the 2027-2028 school year. Sits in House Education and Public Works.</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H4392 (2022), the Keep Partisanship Out of Civics Act:</w:t>
      </w:r>
      <w:r>
        <w:rPr>
          <w:rFonts w:ascii="Arial" w:hAnsi="Arial" w:cs="Arial" w:eastAsia="Arial"/>
          <w:b w:val="0"/>
          <w:color w:val="444444"/>
          <w:sz w:val="20"/>
        </w:rPr>
        <w:t xml:space="preserve"> the neutrality worry approached from the other direction — limits on what civics teachers can be compelled to discuss, no credit for student lobbying, no private funding for civics curriculum or teacher training. Died in the same committee. Together with H3547, it frames the question participants raised — who decides what civics content is neutral — which the legislature has not voted on in either form.</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The district lever:</w:t>
      </w:r>
      <w:r>
        <w:rPr>
          <w:rFonts w:ascii="Arial" w:hAnsi="Arial" w:cs="Arial" w:eastAsia="Arial"/>
          <w:b w:val="0"/>
          <w:color w:val="444444"/>
          <w:sz w:val="20"/>
        </w:rPr>
        <w:t xml:space="preserve"> state law sets the required minimum, but local school boards decide what their schools teach beyond it. A district can add civics coursework or projects on its own, without a new state law. The bills in this record are about statewide requirements that would cover every district.</w:t>
      </w:r>
    </w:p>
    <w:p>
      <w:pPr>
        <w:widowControl/>
        <w:spacing w:before="70" w:after="30" w:lineRule="auto" w:line="250"/>
      </w:pPr>
      <w:r>
        <w:rPr>
          <w:rFonts w:ascii="Arial" w:hAnsi="Arial" w:cs="Arial" w:eastAsia="Arial"/>
          <w:b/>
          <w:color w:val="2E4A78"/>
          <w:sz w:val="24"/>
        </w:rPr>
        <w:t>Moving through the budget instead</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FY 2024-25 proviso 45.11:</w:t>
      </w:r>
      <w:r>
        <w:rPr>
          <w:rFonts w:ascii="Arial" w:hAnsi="Arial" w:cs="Arial" w:eastAsia="Arial"/>
          <w:b w:val="0"/>
          <w:color w:val="444444"/>
          <w:sz w:val="20"/>
        </w:rPr>
        <w:t xml:space="preserve"> a Clemson feasibility study for a Center for Civic Engagement.</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color w:val="1A2D4F"/>
          <w:sz w:val="20"/>
        </w:rPr>
        <w:t>FY 2026-27 (inside proviso 118.21):</w:t>
      </w:r>
      <w:r>
        <w:rPr>
          <w:rFonts w:ascii="Arial" w:hAnsi="Arial" w:cs="Arial" w:eastAsia="Arial"/>
          <w:b w:val="0"/>
          <w:color w:val="444444"/>
          <w:sz w:val="20"/>
        </w:rPr>
        <w:t xml:space="preserve"> $2.5 million for USC's Center for American Civic Leadership and Public Discourse. Both are one-year funding decisions naming a university as the home.</w:t>
      </w:r>
    </w:p>
    <w:p>
      <w:pPr>
        <w:widowControl/>
        <w:spacing w:before="70" w:after="30" w:lineRule="auto" w:line="250"/>
      </w:pPr>
      <w:r>
        <w:rPr>
          <w:rFonts w:ascii="Arial" w:hAnsi="Arial" w:cs="Arial" w:eastAsia="Arial"/>
          <w:b/>
          <w:color w:val="2E4A78"/>
          <w:sz w:val="24"/>
        </w:rPr>
        <w:t>Never filed</w:t>
      </w:r>
    </w:p>
    <w:p>
      <w:pPr>
        <w:widowControl/>
        <w:spacing w:before="0" w:after="80" w:lineRule="auto" w:line="276"/>
        <w:ind w:left="200"/>
      </w:pPr>
      <w:r>
        <w:rPr>
          <w:rFonts w:ascii="Arial" w:hAnsi="Arial" w:cs="Arial" w:eastAsia="Arial"/>
          <w:b w:val="0"/>
          <w:color w:val="C0392B"/>
          <w:sz w:val="20"/>
        </w:rPr>
        <w:t xml:space="preserve">▪  </w:t>
      </w:r>
      <w:r>
        <w:rPr>
          <w:rFonts w:ascii="Arial" w:hAnsi="Arial" w:cs="Arial" w:eastAsia="Arial"/>
          <w:b w:val="0"/>
          <w:color w:val="444444"/>
          <w:sz w:val="20"/>
        </w:rPr>
        <w:t>Election offices already publish the official basics under current law — election dates, registration deadlines, precincts, and polling places. What no bill from 2019–2026 proposes is the next step citizens described: a neutral guide to the candidates and issues themselves. No bill assigns that job to any agency, state or county — the specific tool citizens described has no legislative history at all.</w:t>
      </w:r>
    </w:p>
    <w:p>
      <w:pPr>
        <w:widowControl/>
        <w:spacing w:before="84" w:after="36" w:lineRule="auto" w:line="254"/>
      </w:pPr>
      <w:r>
        <w:rPr>
          <w:rFonts w:ascii="Arial" w:hAnsi="Arial" w:cs="Arial" w:eastAsia="Arial"/>
          <w:b/>
          <w:color w:val="C0392B"/>
          <w:sz w:val="25"/>
          <w:spacing w:val="20"/>
        </w:rPr>
        <w:t>THE WIDER ACCOUNTABILITY RECORD (BACKGROUND)</w:t>
      </w:r>
    </w:p>
    <w:p>
      <w:pPr>
        <w:keepLines/>
        <w:widowControl/>
        <w:spacing w:before="0" w:after="90" w:lineRule="auto" w:line="276"/>
      </w:pPr>
      <w:r>
        <w:rPr>
          <w:rFonts w:ascii="Arial" w:hAnsi="Arial" w:cs="Arial" w:eastAsia="Arial"/>
          <w:b w:val="0"/>
          <w:color w:val="444444"/>
          <w:sz w:val="20"/>
        </w:rPr>
        <w:t>The final grid frames this issue around leaders who "fail to respond to constituent priorities, whether because of unlimited terms or other weak accountability mechanisms." The record on those background lanes, in one place: thirty state term-limit measures filed 2019–2026, none heard (the adopted H3008 targets congressional terms via an Article V convention application, Senate 29–14, May 2025); thirty-six campaign-money bills with a single floor vote in eight years (H4561, House 53–45, died in Senate Judiciary); financial disclosure with the record's near-miss — H3570 passed the House 102–0 and the Senate 40–0 in different versions and died in conference — and its one law, the School Board Ethics Act (S70, Act 191 of 2026, 39–2 and 109–4); and twenty open-government bills, including removing the General Assembly's own FOIA exemption, none of which received a vote. Bill-by-bill detail for all of these lanes is in Appendices A–E.</w:t>
      </w:r>
    </w:p>
    <w:sectPr w:rsidR="00FC693F" w:rsidRPr="0006063C" w:rsidSect="00034616">
      <w:footerReference w:type="default" r:id="rId9"/>
      <w:pgSz w:w="12240" w:h="15840"/>
      <w:pgMar w:top="864" w:right="864" w:bottom="864" w:left="864"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512" w:val="right"/>
      </w:tabs>
    </w:pPr>
    <w:r/>
    <w:r>
      <w:rPr>
        <w:rFonts w:ascii="Arial" w:hAnsi="Arial" w:cs="Arial" w:eastAsia="Arial"/>
        <w:b w:val="0"/>
        <w:i/>
        <w:color w:val="666666"/>
        <w:sz w:val="16"/>
      </w:rPr>
      <w:t>SC2 Responsive Elected Leaders Policy Spotlights v2.1</w:t>
      <w:tab/>
    </w:r>
    <w:fldSimple w:instr=" PAGE ">
      <w:r>
        <w:rPr>
          <w:sz w:val="16"/>
          <w:color w:val="666666"/>
          <w:i/>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