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Rising Cost of Living in South Carolina</w:t>
      </w:r>
    </w:p>
    <w:p>
      <w:pPr>
        <w:widowControl/>
        <w:spacing w:before="0" w:after="120" w:lineRule="auto" w:line="254"/>
      </w:pPr>
      <w:r>
        <w:rPr>
          <w:rFonts w:ascii="Arial" w:hAnsi="Arial" w:cs="Arial" w:eastAsia="Arial"/>
          <w:b w:val="0"/>
          <w:color w:val="444444"/>
          <w:sz w:val="20"/>
        </w:rPr>
        <w:t>The legislative record behind South Carolinians' four cost-of-living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Housing, utility bills, and taxes are the squeeze South Carolinians named in the Phase 2 conversations, and the General Assembly has been busy on all three. Across the last four two-year sessions (2019–2026), lawmakers took up 240 cost-of-living bills in this set, and 28 became law. The record splits in two. What passes is either a narrow, near-unanimous fix — a property tax break for disabled veterans, a lease escape for domestic-violence survivors — or a big negotiated package, like the Santee Cooper reform of 2021 and the income tax cuts of 2022 and 2026. What almost never passes is a structural change filed on its own: opening the electricity market, raising the homestead exemption, protecting customers on utility bills. Five of every six bills in this set died in their first committee, where South Carolina records no vote counts at all.</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438–1, four times</w:t>
      </w:r>
      <w:r>
        <w:rPr>
          <w:rFonts w:ascii="Arial" w:hAnsi="Arial" w:cs="Arial" w:eastAsia="Arial"/>
          <w:b w:val="0"/>
          <w:color w:val="444444"/>
          <w:sz w:val="20"/>
        </w:rPr>
        <w:t xml:space="preserve"> — the House passed utility-accountability bills in 2019, 2022, and 2023 by this combined margin; every one died in Senate Judiciary (H4260, H4776, H4149, H3614)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Class of 2027</w:t>
      </w:r>
      <w:r>
        <w:rPr>
          <w:rFonts w:ascii="Arial" w:hAnsi="Arial" w:cs="Arial" w:eastAsia="Arial"/>
          <w:b w:val="0"/>
          <w:color w:val="444444"/>
          <w:sz w:val="20"/>
        </w:rPr>
        <w:t xml:space="preserve"> — the first class that must earn the personal finance credit the 2022 state budget ordered into the graduation rules</w:t>
      </w:r>
    </w:p>
    <w:tbl>
      <w:tblPr>
        <w:tblW w:type="auto" w:w="0"/>
        <w:jc w:val="center"/>
        <w:tblLayout w:type="autofit"/>
        <w:tblLook w:firstColumn="1" w:firstRow="1" w:lastColumn="0" w:lastRow="0" w:noHBand="0" w:noVBand="1" w:val="04A0"/>
      </w:tblPr>
      <w:tblGrid>
        <w:gridCol w:w="3504"/>
        <w:gridCol w:w="3504"/>
        <w:gridCol w:w="3504"/>
      </w:tblGrid>
      <w:tr>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240</w:t>
            </w:r>
          </w:p>
          <w:p>
            <w:pPr>
              <w:spacing w:after="0" w:line="240" w:lineRule="auto"/>
            </w:pPr>
            <w:r>
              <w:rPr>
                <w:rFonts w:ascii="Arial" w:hAnsi="Arial" w:cs="Arial" w:eastAsia="Arial"/>
                <w:b w:val="0"/>
                <w:color w:val="666666"/>
                <w:sz w:val="20"/>
              </w:rPr>
              <w:t>cost-of-living bills, 2019–2026</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28</w:t>
            </w:r>
          </w:p>
          <w:p>
            <w:pPr>
              <w:spacing w:after="0" w:line="240" w:lineRule="auto"/>
            </w:pPr>
            <w:r>
              <w:rPr>
                <w:rFonts w:ascii="Arial" w:hAnsi="Arial" w:cs="Arial" w:eastAsia="Arial"/>
                <w:b w:val="0"/>
                <w:color w:val="666666"/>
                <w:sz w:val="20"/>
              </w:rPr>
              <w:t>became law — narrow fixes and big negotiated packages</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35</w:t>
            </w:r>
          </w:p>
          <w:p>
            <w:pPr>
              <w:spacing w:after="0" w:line="240" w:lineRule="auto"/>
            </w:pPr>
            <w:r>
              <w:rPr>
                <w:rFonts w:ascii="Arial" w:hAnsi="Arial" w:cs="Arial" w:eastAsia="Arial"/>
                <w:b w:val="0"/>
                <w:color w:val="666666"/>
                <w:sz w:val="20"/>
              </w:rPr>
              <w:t>bills to raise the senior homestead exemption or exempt homes entirely — one passed a chamber (S768, 44–0), none became law</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of the biggest cost-of-living moves never appear in a stand-alone law. They live in provisos — one-year policy rules enacted inside the annual budget bill. This year's budget (FY 2026-27) gives qualifying seniors and disabled homeowners an extra $25,000 homestead exemption on top of the standing $50,000, with the state repaying local governments (proviso 117.220). It also puts the income tax cut into effect faster than the tax law's own triggers (proviso 117.191, as proviso 117.208 did last year). The citizens' financial-education idea became real this way too: FY 2022-23 proviso 1.101 ordered the half-credit personal finance graduation requirement into regulation after the bill version died. Even the Public Service Commission's funding to oversee Santee Cooper sits in a proviso (72.3).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OFTEN MOVED BEFORE: OVERSIGHT MACHINERY AND NARROW TAX FIXES</w:t>
      </w:r>
    </w:p>
    <w:p>
      <w:pPr>
        <w:widowControl/>
        <w:spacing w:before="0" w:after="49" w:lineRule="auto" w:line="247"/>
        <w:jc w:val="both"/>
      </w:pPr>
      <w:r>
        <w:rPr>
          <w:rFonts w:ascii="Arial" w:hAnsi="Arial" w:cs="Arial" w:eastAsia="Arial"/>
          <w:b/>
          <w:color w:val="1A2D4F"/>
          <w:sz w:val="20"/>
        </w:rPr>
        <w:t>Watching the utilities [P-utility-transparency].</w:t>
      </w:r>
      <w:r>
        <w:rPr>
          <w:rFonts w:ascii="Arial" w:hAnsi="Arial" w:cs="Arial" w:eastAsia="Arial"/>
          <w:b w:val="0"/>
          <w:color w:val="444444"/>
          <w:sz w:val="20"/>
        </w:rPr>
        <w:t xml:space="preserve"> After the V.C. Summer nuclear collapse, oversight packages kept becoming law. Act 90 of 2021 (H3194) rebuilt Santee Cooper's board and, for the first time, put its rates under Public Service Commission review — House 89–26, Senate 44–1. Acts 74 and 75 of 2025 (S271, H4402) restarted the PSC elections that had been on hold, 40–0 and 110–0. The 2025 Energy Security Act (H3309, Act 41) let customers speak as public witnesses in rate cases and set schedules for rate proceedings, 94–11 and 38–3. S51 (Act 73 of 2025) told Santee Cooper to take proposals for finishing the abandoned reactors, 43–0 and 111–0.</w:t>
      </w:r>
    </w:p>
    <w:p>
      <w:pPr>
        <w:widowControl/>
        <w:spacing w:before="0" w:after="49" w:lineRule="auto" w:line="247"/>
        <w:jc w:val="both"/>
      </w:pPr>
      <w:r>
        <w:rPr>
          <w:rFonts w:ascii="Arial" w:hAnsi="Arial" w:cs="Arial" w:eastAsia="Arial"/>
          <w:b/>
          <w:color w:val="1A2D4F"/>
          <w:sz w:val="20"/>
        </w:rPr>
        <w:t>Narrow property tax fixes [P-reduce-property-vehicle-taxes].</w:t>
      </w:r>
      <w:r>
        <w:rPr>
          <w:rFonts w:ascii="Arial" w:hAnsi="Arial" w:cs="Arial" w:eastAsia="Arial"/>
          <w:b w:val="0"/>
          <w:color w:val="444444"/>
          <w:sz w:val="20"/>
        </w:rPr>
        <w:t xml:space="preserve"> Small, specific relief passes almost unanimously: disabled veterans get their exemption the year disability occurs (H3116, Act 116 of 2024, 111–0 and 45–0); a home keeps its 4% rate and exemptions while an estate settles (H3841, Act 140 of 2026, 107–0 and 43–0); surviving spouses and heirs' property qualify for the homestead exemption (S233, Act 236 of 2022). The one structural win: the Municipal Tax Relief Act (S866, Act 228 of 2026, 32–9 and 96–16) lets certain cities ask voters to swap up to a 1% sales tax for property tax credits on homes.</w:t>
      </w:r>
    </w:p>
    <w:p>
      <w:pPr>
        <w:widowControl/>
        <w:spacing w:before="84" w:after="36" w:lineRule="auto" w:line="254"/>
      </w:pPr>
      <w:r>
        <w:rPr>
          <w:rFonts w:ascii="Arial" w:hAnsi="Arial" w:cs="Arial" w:eastAsia="Arial"/>
          <w:b/>
          <w:color w:val="C0392B"/>
          <w:sz w:val="25"/>
          <w:spacing w:val="20"/>
        </w:rPr>
        <w:t>GOT SUPPORT BUT DIDN'T FINISH</w:t>
      </w:r>
    </w:p>
    <w:p>
      <w:pPr>
        <w:widowControl/>
        <w:spacing w:before="0" w:after="49" w:lineRule="auto" w:line="247"/>
        <w:jc w:val="both"/>
      </w:pPr>
      <w:r>
        <w:rPr>
          <w:rFonts w:ascii="Arial" w:hAnsi="Arial" w:cs="Arial" w:eastAsia="Arial"/>
          <w:b/>
          <w:color w:val="1A2D4F"/>
          <w:sz w:val="20"/>
        </w:rPr>
        <w:t>The transparency bills the House keeps passing [P-utility-transparency].</w:t>
      </w:r>
      <w:r>
        <w:rPr>
          <w:rFonts w:ascii="Arial" w:hAnsi="Arial" w:cs="Arial" w:eastAsia="Arial"/>
          <w:b w:val="0"/>
          <w:color w:val="444444"/>
          <w:sz w:val="20"/>
        </w:rPr>
        <w:t xml:space="preserve"> The 2019 Ratepayer Protection Act (H4260) went straight at the citizens' concern: it banned utilities from giving campaign contributions, meals, or anything of value to the legislators' panel that screens utility regulators, protected utility whistleblowers, and tightened regulator conflict-of-interest rules. It passed the House 105–1 and died in Senate Judiciary without a vote. The revolving-door ban (H4776) passed the House 101–0 — same ending. The whistleblower refiles passed 118–0 (H4149, 2022) and 114–0 (H3614, 2023) — same committee, same ending, four times in eight years. A homestead exemption increase finally passed a chamber in 2026 (S768: $100,000 and age 60, Senate 44–0) and died in House Ways and Means [P-reduce-property-vehicle-taxes]. The 2024 energy package (H5118) passed both chambers, 88–21 and 40–2, and died in conference — its successor became the 2025 law.</w:t>
      </w:r>
    </w:p>
    <w:p>
      <w:pPr>
        <w:widowControl/>
        <w:spacing w:before="84" w:after="36" w:lineRule="auto" w:line="254"/>
      </w:pPr>
      <w:r>
        <w:rPr>
          <w:rFonts w:ascii="Arial" w:hAnsi="Arial" w:cs="Arial" w:eastAsia="Arial"/>
          <w:b/>
          <w:color w:val="C0392B"/>
          <w:sz w:val="25"/>
          <w:spacing w:val="20"/>
        </w:rPr>
        <w:t>RARELY MOVED BEFORE</w:t>
      </w:r>
    </w:p>
    <w:p>
      <w:pPr>
        <w:widowControl/>
        <w:spacing w:before="0" w:after="49" w:lineRule="auto" w:line="247"/>
        <w:jc w:val="both"/>
      </w:pPr>
      <w:r>
        <w:rPr>
          <w:rFonts w:ascii="Arial" w:hAnsi="Arial" w:cs="Arial" w:eastAsia="Arial"/>
          <w:b/>
          <w:color w:val="1A2D4F"/>
          <w:sz w:val="20"/>
        </w:rPr>
        <w:t>Opening the electricity market [P-utility-competition].</w:t>
      </w:r>
      <w:r>
        <w:rPr>
          <w:rFonts w:ascii="Arial" w:hAnsi="Arial" w:cs="Arial" w:eastAsia="Arial"/>
          <w:b w:val="0"/>
          <w:color w:val="444444"/>
          <w:sz w:val="20"/>
        </w:rPr>
        <w:t xml:space="preserve"> The state officially studied it: Act 187 of 2020 (H4940) created the Electricity Market Reform Measures Study Committee, with an independent expert consultant — House 81–31, the most contested vote of any enacted bill here. But every bill that would actually let customers choose a power supplier — retail choice (H5439), third-party suppliers (H5440, S878), co-op wholesale market access (H5525) — was filed in 2026 and died in its first committee without a vote. So did all 19 utility customer-billing bills in this set (shutoff limits, payment-fee bans, balance-transfer bans): not one recorded vote in eight years.</w:t>
      </w:r>
    </w:p>
    <w:p>
      <w:pPr>
        <w:widowControl/>
        <w:spacing w:before="0" w:after="49" w:lineRule="auto" w:line="247"/>
        <w:jc w:val="both"/>
      </w:pPr>
      <w:r>
        <w:rPr>
          <w:rFonts w:ascii="Arial" w:hAnsi="Arial" w:cs="Arial" w:eastAsia="Arial"/>
          <w:b/>
          <w:color w:val="1A2D4F"/>
          <w:sz w:val="20"/>
        </w:rPr>
        <w:t>Cutting property and vehicle taxes broadly [P-reduce-property-vehicle-taxes].</w:t>
      </w:r>
      <w:r>
        <w:rPr>
          <w:rFonts w:ascii="Arial" w:hAnsi="Arial" w:cs="Arial" w:eastAsia="Arial"/>
          <w:b w:val="0"/>
          <w:color w:val="444444"/>
          <w:sz w:val="20"/>
        </w:rPr>
        <w:t xml:space="preserve"> Full elimination was filed once — H3378 (2025) would have ended every property tax with dollar-for-dollar state repayment to local governments — and died in House Ways and Means, where 45 of the 67 home-property-tax bills in this set stopped. Thirteen vehicle and boat tax bills produced zero recorded votes; the broadest, H5014 (2026), would have exempted one car for seniors. No bill in this record proposes ending the vehicle property tax statewide.</w:t>
      </w:r>
    </w:p>
    <w:p>
      <w:pPr>
        <w:widowControl/>
        <w:spacing w:before="84" w:after="36" w:lineRule="auto" w:line="254"/>
      </w:pPr>
      <w:r>
        <w:rPr>
          <w:rFonts w:ascii="Arial" w:hAnsi="Arial" w:cs="Arial" w:eastAsia="Arial"/>
          <w:b/>
          <w:color w:val="C0392B"/>
          <w:sz w:val="25"/>
          <w:spacing w:val="20"/>
        </w:rPr>
        <w:t>ALREADY POLICY — THROUGH THE BUDGET, NOT A BILL</w:t>
      </w:r>
    </w:p>
    <w:p>
      <w:pPr>
        <w:widowControl/>
        <w:spacing w:before="0" w:after="49" w:lineRule="auto" w:line="247"/>
        <w:jc w:val="both"/>
      </w:pPr>
      <w:r>
        <w:rPr>
          <w:rFonts w:ascii="Arial" w:hAnsi="Arial" w:cs="Arial" w:eastAsia="Arial"/>
          <w:b/>
          <w:color w:val="1A2D4F"/>
          <w:sz w:val="20"/>
        </w:rPr>
        <w:t>Personal finance in school [P-financial-education].</w:t>
      </w:r>
      <w:r>
        <w:rPr>
          <w:rFonts w:ascii="Arial" w:hAnsi="Arial" w:cs="Arial" w:eastAsia="Arial"/>
          <w:b w:val="0"/>
          <w:color w:val="444444"/>
          <w:sz w:val="20"/>
        </w:rPr>
        <w:t xml:space="preserve"> Six bills tried to make personal finance a graduation requirement. H3199 passed the House 102–10 and died in Senate Education; S16 passed the Senate 44–1 and the House 109–0 in differing versions and died in conference in 2022. That same year, budget proviso 1.101 ordered the State Board of Education to write the requirement into regulation — and it took effect in May 2023. Students who started ninth grade in 2023-24 (the Class of 2027) must earn a half-credit in personal finance to graduate. No bill on the topic has been filed since. Nothing in the record addresses financial education for adults.</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Four rooms decide this issue. Utility bills go to House Labor, Commerce and Industry and to Senate Judiciary — in South Carolina, utility law belongs to the Judiciary Committee — and tax bills go to House Ways and Means and Senate Finance. Of 240 bills, 200 never left their first committee, and no committee vote counts exist because the state does not publish them. Rep. King led fourteen bills — utility billing protections and senior exemptions — all stopped in first committee. Rep. Jones led twelve 2025-26 housing bills; same result. Rep. Ott carried the whistleblower bills the House passed 118–0 and 114–0. The enacted packages were carried by chamber leaders: Speaker Lucas (Santee Cooper reform), Rep. G.M. Smith (the energy bills), Sen. Peeler (the 2022 tax cut and S768). The genuinely contested votes are few: the market-reform study (81–31), Santee Cooper joint ownership (S12, 25–18 on second reading, later shelved), the 2026 income tax cut (64–47 in the House), and the municipal sales-tax swap (32–9).</w:t>
      </w:r>
    </w:p>
    <w:p>
      <w:pPr>
        <w:widowControl/>
        <w:spacing w:before="84" w:after="36" w:lineRule="auto" w:line="254"/>
      </w:pPr>
      <w:r>
        <w:rPr>
          <w:rFonts w:ascii="Arial" w:hAnsi="Arial" w:cs="Arial" w:eastAsia="Arial"/>
          <w:b/>
          <w:color w:val="C0392B"/>
          <w:sz w:val="25"/>
          <w:spacing w:val="20"/>
        </w:rPr>
        <w:t>NEW LAW FROM THE 2025–2026 SESSION</w:t>
      </w:r>
    </w:p>
    <w:p>
      <w:pPr>
        <w:widowControl/>
        <w:spacing w:before="0" w:after="49" w:lineRule="auto" w:line="247"/>
        <w:jc w:val="both"/>
      </w:pPr>
      <w:r>
        <w:rPr>
          <w:rFonts w:ascii="Arial" w:hAnsi="Arial" w:cs="Arial" w:eastAsia="Arial"/>
          <w:b w:val="0"/>
          <w:color w:val="444444"/>
          <w:sz w:val="20"/>
        </w:rPr>
        <w:t>The 126th session was the biggest enacting session in this record: the Energy Security Act (Act 41), restarted PSC elections (Acts 74/75), the V.C. Summer proposals resolution (Act 73), the income tax restructuring to a 5.21% top rate (H4216, Act 110 of 2026, 64–47 and 39–5), the municipal sales-tax swap (Act 228), estate continuity for home tax status (Act 140), a higher manufacturing-exemption reimbursement cap (Act 122), and the domestic-violence lease release (Act 184). The FY 2026-27 budget added the extra $25,000 homestead exemption, the accelerated tax rate, and a new state program building affordable starter homes (proviso 42.7, "Made it Home!").</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UTILITY RATES AND LEGISLATOR–UTILITY TIES [P-UTILITY-TRANSPARENCY]</w:t>
      </w:r>
    </w:p>
    <w:p>
      <w:pPr>
        <w:widowControl/>
        <w:spacing w:before="0" w:after="49" w:lineRule="auto" w:line="247"/>
        <w:jc w:val="both"/>
      </w:pPr>
      <w:r>
        <w:rPr>
          <w:rFonts w:ascii="Arial" w:hAnsi="Arial" w:cs="Arial" w:eastAsia="Arial"/>
          <w:b/>
          <w:color w:val="1A2D4F"/>
          <w:sz w:val="20"/>
        </w:rPr>
        <w:t>The House keeps passing the accountability bills; Senate Judiciary keeps not taking them up.</w:t>
      </w:r>
      <w:r>
        <w:rPr>
          <w:rFonts w:ascii="Arial" w:hAnsi="Arial" w:cs="Arial" w:eastAsia="Arial"/>
          <w:b w:val="0"/>
          <w:color w:val="444444"/>
          <w:sz w:val="20"/>
        </w:rPr>
        <w:t xml:space="preserve"> The exact citizen concern — money flowing between utilities and the officials who oversee them — was the 2019 Ratepayer Protection Act (H4260): no utility campaign contributions, meals, lodging, or anything of value for members of the Public Utilities Review Committee, the legislative panel that screens PSC candidates; whistleblower protections for utility employees; conflict-of-interest rules for regulators. House 105–1, died in Senate Judiciary. H4776 (2019) would have stretched the ban on regulators going to work for utilities from one year to three — House 101–0, same ending. The whistleblower core passed the House alone twice more: H4149 (2022) 118–0 and H3614 (2023) 114–0, dying in Senate Judiciary both times. What did become law is oversight structure: Santee Cooper's rates now go through PSC review (Act 90 of 2021), PSC elections restarted after years of expired terms (Acts 74/75 of 2025), and customers can now testify as public witnesses in rate cases (Act 41 of 2025). On disclosure: legislators already file annual Statements of Economic Interests under the ethics law, but those forms are not utility-specific, and no bill in this record adds a utility-specific disclosure duty — every filed approach regulated the utilities' side instead.</w:t>
      </w:r>
    </w:p>
    <w:p>
      <w:pPr>
        <w:widowControl/>
        <w:spacing w:before="84" w:after="36" w:lineRule="auto" w:line="254"/>
      </w:pPr>
      <w:r>
        <w:rPr>
          <w:rFonts w:ascii="Arial" w:hAnsi="Arial" w:cs="Arial" w:eastAsia="Arial"/>
          <w:b/>
          <w:color w:val="C0392B"/>
          <w:sz w:val="25"/>
          <w:spacing w:val="20"/>
        </w:rPr>
        <w:t>OPENING THE UTILITY MARKET [P-UTILITY-COMPETITION]</w:t>
      </w:r>
    </w:p>
    <w:p>
      <w:pPr>
        <w:widowControl/>
        <w:spacing w:before="0" w:after="49" w:lineRule="auto" w:line="247"/>
        <w:jc w:val="both"/>
      </w:pPr>
      <w:r>
        <w:rPr>
          <w:rFonts w:ascii="Arial" w:hAnsi="Arial" w:cs="Arial" w:eastAsia="Arial"/>
          <w:b/>
          <w:color w:val="1A2D4F"/>
          <w:sz w:val="20"/>
        </w:rPr>
        <w:t>One enacted study, zero bills with a vote.</w:t>
      </w:r>
      <w:r>
        <w:rPr>
          <w:rFonts w:ascii="Arial" w:hAnsi="Arial" w:cs="Arial" w:eastAsia="Arial"/>
          <w:b w:val="0"/>
          <w:color w:val="444444"/>
          <w:sz w:val="20"/>
        </w:rPr>
        <w:t xml:space="preserve"> Act 187 of 2020 (H4940) created the Electricity Market Reform Measures Study Committee to examine market reforms with an independent consultant; it passed the House 81–31 and the Senate 41–0. The bills that would actually end the monopoly arrived only in 2026, after two years of rate debates, and all died in their first committee without a vote: H5439 (retail choice for households and small businesses, with PSC permits and price disclosures), H5440 and S878 (third-party suppliers over the incumbent's wires, with the customer paying transmission costs), and H5525 (PSC oversight of the electric co-ops' wholesale power contracts). Earlier edges of the idea went the same way: letting businesses buy from a supplier outside their assigned territory (H3344, 2019) and forcing Santee Cooper to sell its plants and join a regional grid operator (S439, 2021). The closest the Senate came to a market-structure floor fight was S12 (2025) — letting Santee Cooper co-own plants with private utilities — which passed second reading 25–18 and was then shelved back to committee. The citizens' own flagged tradeoff, whether the grid can support competition, is exactly what the 2020 study was created to examine; its report sits outside this bill record.</w:t>
      </w:r>
    </w:p>
    <w:p>
      <w:pPr>
        <w:widowControl/>
        <w:spacing w:before="84" w:after="36" w:lineRule="auto" w:line="254"/>
      </w:pPr>
      <w:r>
        <w:rPr>
          <w:rFonts w:ascii="Arial" w:hAnsi="Arial" w:cs="Arial" w:eastAsia="Arial"/>
          <w:b/>
          <w:color w:val="C0392B"/>
          <w:sz w:val="25"/>
          <w:spacing w:val="20"/>
        </w:rPr>
        <w:t>PERSONAL BUDGETING AND FINANCIAL EDUCATION [P-FINANCIAL-EDUCATION]</w:t>
      </w:r>
    </w:p>
    <w:p>
      <w:pPr>
        <w:widowControl/>
        <w:spacing w:before="0" w:after="49" w:lineRule="auto" w:line="247"/>
        <w:jc w:val="both"/>
      </w:pPr>
      <w:r>
        <w:rPr>
          <w:rFonts w:ascii="Arial" w:hAnsi="Arial" w:cs="Arial" w:eastAsia="Arial"/>
          <w:b/>
          <w:color w:val="1A2D4F"/>
          <w:sz w:val="20"/>
        </w:rPr>
        <w:t>The proposal that already happened — through the budget and a regulation.</w:t>
      </w:r>
      <w:r>
        <w:rPr>
          <w:rFonts w:ascii="Arial" w:hAnsi="Arial" w:cs="Arial" w:eastAsia="Arial"/>
          <w:b w:val="0"/>
          <w:color w:val="444444"/>
          <w:sz w:val="20"/>
        </w:rPr>
        <w:t xml:space="preserve"> South Carolina law has required schools to offer financial-literacy instruction since 2005 (Section 59-29-410); bills in 2019 and 2021 to add topics like student loans and credit passed one chamber at most (H3199: House 102–10, died in Senate Education). The graduation-requirement push came closest as S16 (2021-22), which passed the Senate 44–1 and the House 109–0 in differing versions and died in conference. Then the budget finished it: FY 2022-23 proviso 1.101 directed the State Board of Education to write a required half-credit in personal finance into the graduation regulation. Regulation 43-234 (Document 5130) took effect May 26, 2023. Every student who entered ninth grade from fall 2023 on — starting with the Class of 2027 — must earn the credit. The approval resolution for the regulation (S732) stalled in committee, but under the state's regulation-review law the requirement took effect anyway. Since then, no personal-finance bill has been filed. The record contains nothing on financial education for adults, and the Community Conversations' own caution stands: education does not lower prices.</w:t>
      </w:r>
    </w:p>
    <w:p>
      <w:pPr>
        <w:widowControl/>
        <w:spacing w:before="84" w:after="36" w:lineRule="auto" w:line="254"/>
      </w:pPr>
      <w:r>
        <w:rPr>
          <w:rFonts w:ascii="Arial" w:hAnsi="Arial" w:cs="Arial" w:eastAsia="Arial"/>
          <w:b/>
          <w:color w:val="C0392B"/>
          <w:sz w:val="25"/>
          <w:spacing w:val="20"/>
        </w:rPr>
        <w:t>REDUCE OR ELIMINATE PROPERTY AND VEHICLE TAXES [P-REDUCE-PROPERTY-VEHICLE-TAXES]</w:t>
      </w:r>
    </w:p>
    <w:p>
      <w:pPr>
        <w:widowControl/>
        <w:spacing w:before="0" w:after="49" w:lineRule="auto" w:line="247"/>
        <w:jc w:val="both"/>
      </w:pPr>
      <w:r>
        <w:rPr>
          <w:rFonts w:ascii="Arial" w:hAnsi="Arial" w:cs="Arial" w:eastAsia="Arial"/>
          <w:b/>
          <w:color w:val="1A2D4F"/>
          <w:sz w:val="20"/>
        </w:rPr>
        <w:t>Eighty bills, the narrowest wins — and the biggest recent relief came through the budget.</w:t>
      </w:r>
      <w:r>
        <w:rPr>
          <w:rFonts w:ascii="Arial" w:hAnsi="Arial" w:cs="Arial" w:eastAsia="Arial"/>
          <w:b w:val="0"/>
          <w:color w:val="444444"/>
          <w:sz w:val="20"/>
        </w:rPr>
        <w:t xml:space="preserve"> Full elimination was filed once: H3378 (2025) would have ended all property taxes with dollar-for-dollar state repayment to local governments; it died in House Ways and Means without a vote. Thirty-five bills to raise the $50,000 senior/disabled homestead exemption — to $75,000 (S910), $100,000 (H3127, S768), the home's full value (H3687, H4197), or new groups (deaf taxpayers, S1027/S433) — died the same way, except S768 (2026), which passed the Senate 44–0 and then died in House Ways and Means. On vehicles: thirteen bills, zero votes, none statewide — the broadest (H5014, 2026) would have exempted one car per senior. What became law is targeted: disabled veterans (Act 116 of 2024), surviving spouses and heirs' property (Act 236 of 2022), estates (Act 140 of 2026), installment payments (Act 69 of 2021), plus the S866 sales-tax-swap option for cities (Act 228 of 2026). The budget did the rest: this year's proviso 117.220 adds an extra $25,000 homestead exemption, and provisos 117.208/117.191 accelerated the income tax cut. Context for the tradeoff citizens flagged: since 2006, owner-occupied homes already pay no school operating taxes — a statewide sales-tax penny repays the schools — so broader cuts turn on what replaces the rest of local revenue.</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Public Service Commission (PSC):</w:t>
      </w:r>
      <w:r>
        <w:rPr>
          <w:rFonts w:ascii="Arial" w:hAnsi="Arial" w:cs="Arial" w:eastAsia="Arial"/>
          <w:b w:val="0"/>
          <w:color w:val="444444"/>
          <w:sz w:val="20"/>
        </w:rPr>
        <w:t xml:space="preserve"> The seven-member state body that sets investor-owned utilities' rates case by case; elected by the General Assembly after screening.</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Public Utilities Review Committee:</w:t>
      </w:r>
      <w:r>
        <w:rPr>
          <w:rFonts w:ascii="Arial" w:hAnsi="Arial" w:cs="Arial" w:eastAsia="Arial"/>
          <w:b w:val="0"/>
          <w:color w:val="444444"/>
          <w:sz w:val="20"/>
        </w:rPr>
        <w:t xml:space="preserve"> The legislative panel that screens PSC candidates. The 2019 Ratepayer Protection Act would have barred utilities from giving its members anything of value.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Santee Cooper:</w:t>
      </w:r>
      <w:r>
        <w:rPr>
          <w:rFonts w:ascii="Arial" w:hAnsi="Arial" w:cs="Arial" w:eastAsia="Arial"/>
          <w:b w:val="0"/>
          <w:color w:val="444444"/>
          <w:sz w:val="20"/>
        </w:rPr>
        <w:t xml:space="preserve"> The state-owned electric and water utility (officially the SC Public Service Authority); its role in V.C. Summer drove most of the oversight laws in this brief.</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V.C. Summer:</w:t>
      </w:r>
      <w:r>
        <w:rPr>
          <w:rFonts w:ascii="Arial" w:hAnsi="Arial" w:cs="Arial" w:eastAsia="Arial"/>
          <w:b w:val="0"/>
          <w:color w:val="444444"/>
          <w:sz w:val="20"/>
        </w:rPr>
        <w:t xml:space="preserve"> The two-reactor nuclear project abandoned in 2017 after billions in spending; customers were left paying for it, setting off the 2019–2025 wave of utility legislation.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Rate case:</w:t>
      </w:r>
      <w:r>
        <w:rPr>
          <w:rFonts w:ascii="Arial" w:hAnsi="Arial" w:cs="Arial" w:eastAsia="Arial"/>
          <w:b w:val="0"/>
          <w:color w:val="444444"/>
          <w:sz w:val="20"/>
        </w:rPr>
        <w:t xml:space="preserve"> The PSC proceeding where a utility asks to change its rates. The 2025 Energy Security Act lets customers testify in these as public witnesses.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Service territory / retail choice:</w:t>
      </w:r>
      <w:r>
        <w:rPr>
          <w:rFonts w:ascii="Arial" w:hAnsi="Arial" w:cs="Arial" w:eastAsia="Arial"/>
          <w:b w:val="0"/>
          <w:color w:val="444444"/>
          <w:sz w:val="20"/>
        </w:rPr>
        <w:t xml:space="preserve"> State law assigns each area one electric provider; customers cannot choose. Retail-choice bills (first filed 2026) would let customers buy power from competing sellers over the existing wires.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Statement of Economic Interests (SEI):</w:t>
      </w:r>
      <w:r>
        <w:rPr>
          <w:rFonts w:ascii="Arial" w:hAnsi="Arial" w:cs="Arial" w:eastAsia="Arial"/>
          <w:b w:val="0"/>
          <w:color w:val="444444"/>
          <w:sz w:val="20"/>
        </w:rPr>
        <w:t xml:space="preserve"> The annual public disclosure of income sources and business ties legislators file under the ethics law. Not utility-specific.</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budget bill; Part IB is the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Homestead exemption:</w:t>
      </w:r>
      <w:r>
        <w:rPr>
          <w:rFonts w:ascii="Arial" w:hAnsi="Arial" w:cs="Arial" w:eastAsia="Arial"/>
          <w:b w:val="0"/>
          <w:color w:val="444444"/>
          <w:sz w:val="20"/>
        </w:rPr>
        <w:t xml:space="preserve"> For homeowners 65+, disabled, or legally blind, the first $50,000 of home value is tax-exempt (§12-37-250). This year's budget adds a one-year extra $25,000 (proviso 117.220).</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388 swap:</w:t>
      </w:r>
      <w:r>
        <w:rPr>
          <w:rFonts w:ascii="Arial" w:hAnsi="Arial" w:cs="Arial" w:eastAsia="Arial"/>
          <w:b w:val="0"/>
          <w:color w:val="444444"/>
          <w:sz w:val="20"/>
        </w:rPr>
        <w:t xml:space="preserve"> Since 2006, owner-occupied homes pay no school operating property taxes; a statewide sales-tax penny reimburses schools through the Homestead Exemption Fund.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Assessment ratio:</w:t>
      </w:r>
      <w:r>
        <w:rPr>
          <w:rFonts w:ascii="Arial" w:hAnsi="Arial" w:cs="Arial" w:eastAsia="Arial"/>
          <w:b w:val="0"/>
          <w:color w:val="444444"/>
          <w:sz w:val="20"/>
        </w:rPr>
        <w:t xml:space="preserve"> Owner-occupied homes are taxed on 4% of value; rentals, second homes, and businesses on 6%. Act 140 of 2026 keeps a home at 4% while an estate settles.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Reassessment / 15% cap:</w:t>
      </w:r>
      <w:r>
        <w:rPr>
          <w:rFonts w:ascii="Arial" w:hAnsi="Arial" w:cs="Arial" w:eastAsia="Arial"/>
          <w:b w:val="0"/>
          <w:color w:val="444444"/>
          <w:sz w:val="20"/>
        </w:rPr>
        <w:t xml:space="preserve"> Counties revalue property every five years; a home's taxable value may rise at most 15% per cycle. Amendments to rework this died without votes.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Vehicle property tax:</w:t>
      </w:r>
      <w:r>
        <w:rPr>
          <w:rFonts w:ascii="Arial" w:hAnsi="Arial" w:cs="Arial" w:eastAsia="Arial"/>
          <w:b w:val="0"/>
          <w:color w:val="444444"/>
          <w:sz w:val="20"/>
        </w:rPr>
        <w:t xml:space="preserve"> The county tax paid each year at registration on a car's value — county revenue, set under state rules.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Municipal Tax Relief Act (S866):</w:t>
      </w:r>
      <w:r>
        <w:rPr>
          <w:rFonts w:ascii="Arial" w:hAnsi="Arial" w:cs="Arial" w:eastAsia="Arial"/>
          <w:b w:val="0"/>
          <w:color w:val="444444"/>
          <w:sz w:val="20"/>
        </w:rPr>
        <w:t xml:space="preserve"> The 2026 law letting certain cities ask voters to approve up to a 1% sales tax that funds property tax credits on owner-occupied homes.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Regulation 43-234 / Doc. 5130:</w:t>
      </w:r>
      <w:r>
        <w:rPr>
          <w:rFonts w:ascii="Arial" w:hAnsi="Arial" w:cs="Arial" w:eastAsia="Arial"/>
          <w:b w:val="0"/>
          <w:color w:val="444444"/>
          <w:sz w:val="20"/>
        </w:rPr>
        <w:t xml:space="preserve"> The State Board of Education graduation regulation requiring a half-credit in personal finance, effective May 26, 2023.</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each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A bill filed in the first year stays alive into the second;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In the Senate, utility bills go to Judiciary — a quirk of South Carolina's committee system.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The state never publishes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Recommitted:</w:t>
      </w:r>
      <w:r>
        <w:rPr>
          <w:rFonts w:ascii="Arial" w:hAnsi="Arial" w:cs="Arial" w:eastAsia="Arial"/>
          <w:b w:val="0"/>
          <w:color w:val="444444"/>
          <w:sz w:val="20"/>
        </w:rPr>
        <w:t xml:space="preserve"> Sent from the floor calendar back to committee — how S12 and S446 were shelved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recorded roll calls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94–11 and 38–3):</w:t>
      </w:r>
      <w:r>
        <w:rPr>
          <w:rFonts w:ascii="Arial" w:hAnsi="Arial" w:cs="Arial" w:eastAsia="Arial"/>
          <w:b w:val="0"/>
          <w:color w:val="444444"/>
          <w:sz w:val="20"/>
        </w:rPr>
        <w:t xml:space="preserve"> Yes–no floor tallies, one per chamber. The House has 124 members, the Senate 46; lower totals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That second committee stop is where the House-passed utility bills die.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a bill dies there if no deal comes before session's end (S16 in 2022, H5118 in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Act number:</w:t>
      </w:r>
      <w:r>
        <w:rPr>
          <w:rFonts w:ascii="Arial" w:hAnsi="Arial" w:cs="Arial" w:eastAsia="Arial"/>
          <w:b w:val="0"/>
          <w:color w:val="444444"/>
          <w:sz w:val="20"/>
        </w:rPr>
        <w:t xml:space="preserve"> After both chambers pass identical text, the bill goes to the governor; a signed bill becomes a numbered act — "Act 41 of 2025."</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two-thirds of each chamber can override.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like the Santee Cooper bidding process (H4287).</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Regulation review:</w:t>
      </w:r>
      <w:r>
        <w:rPr>
          <w:rFonts w:ascii="Arial" w:hAnsi="Arial" w:cs="Arial" w:eastAsia="Arial"/>
          <w:b w:val="0"/>
          <w:color w:val="444444"/>
          <w:sz w:val="20"/>
        </w:rPr>
        <w:t xml:space="preserve"> Agency regulations go to the General Assembly; if lawmakers do not act within the review window, the regulation takes effect anyway — how the personal-finance requirement became binding. A bill that instead "dies at session's end" simply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