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" w:lineRule="auto" w:line="254"/>
      </w:pPr>
      <w:r>
        <w:rPr>
          <w:rFonts w:ascii="Arial" w:hAnsi="Arial" w:cs="Arial" w:eastAsia="Arial"/>
          <w:b/>
          <w:color w:val="1A2D4F"/>
          <w:sz w:val="20"/>
          <w:spacing w:val="20"/>
        </w:rPr>
        <w:t>T H E   F O R U M</w:t>
      </w:r>
    </w:p>
    <w:p>
      <w:pPr>
        <w:widowControl/>
        <w:spacing w:before="0" w:after="120" w:lineRule="auto" w:line="254"/>
        <w:pBdr>
          <w:bottom w:val="single" w:sz="20" w:space="2" w:color="1A2D4F"/>
        </w:pBdr>
      </w:pPr>
    </w:p>
    <w:p>
      <w:pPr>
        <w:widowControl/>
        <w:spacing w:before="0" w:after="40" w:lineRule="auto" w:line="252"/>
      </w:pPr>
      <w:r>
        <w:rPr>
          <w:rFonts w:ascii="Arial" w:hAnsi="Arial" w:cs="Arial" w:eastAsia="Arial"/>
          <w:b/>
          <w:color w:val="1A2D4F"/>
          <w:sz w:val="36"/>
        </w:rPr>
        <w:t>Glossary — Water Scarcity Brief</w:t>
      </w:r>
    </w:p>
    <w:p>
      <w:pPr>
        <w:widowControl/>
        <w:spacing w:before="0" w:after="120" w:lineRule="auto" w:line="254"/>
      </w:pPr>
      <w:r>
        <w:rPr>
          <w:rFonts w:ascii="Arial" w:hAnsi="Arial" w:cs="Arial" w:eastAsia="Arial"/>
          <w:b w:val="0"/>
          <w:color w:val="444444"/>
          <w:sz w:val="20"/>
        </w:rPr>
        <w:t>Plain-language definitions of this brief's terms and acronyms; the shared legislative process guide follows.</w:t>
      </w: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GLOSSARY</w:t>
      </w:r>
    </w:p>
    <w:p>
      <w:pPr>
        <w:sectPr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Basin water budget: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An accounting of how much water enters a groundwater basin versus how much is pumped out.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Bureau of Reclamation: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federal agency that operates the Colorado River's dams and reservoirs and sets its shortage rules.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Buy-and-retire: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state buying water rights and permanently canceling them so the water stays in the ground.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Cloud seeding:</w:t>
      </w:r>
      <w:r>
        <w:rPr>
          <w:rFonts w:ascii="Arial" w:hAnsi="Arial" w:cs="Arial" w:eastAsia="Arial"/>
          <w:b w:val="0"/>
          <w:color w:val="444444"/>
          <w:sz w:val="20"/>
        </w:rPr>
        <w:t xml:space="preserve"> Releasing tiny particles into clouds to coax more snow or rain from storms.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Conjunctive management:</w:t>
      </w:r>
      <w:r>
        <w:rPr>
          <w:rFonts w:ascii="Arial" w:hAnsi="Arial" w:cs="Arial" w:eastAsia="Arial"/>
          <w:b w:val="0"/>
          <w:color w:val="444444"/>
          <w:sz w:val="20"/>
        </w:rPr>
        <w:t xml:space="preserve"> Managing rivers, streams, and groundwater as one connected supply instead of separate systems.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Data center: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warehouse of computer servers, among the largest water and power users a county can attract.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Decorative Colorado River grass: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Ornamental turf no one walks on, irrigated with Colorado River water; banned in southern Nevada in 2021.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Domestic well: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private well serving a single home. In stressed basins, domestic wells must be metered to keep pumping.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Drought reserve:</w:t>
      </w:r>
      <w:r>
        <w:rPr>
          <w:rFonts w:ascii="Arial" w:hAnsi="Arial" w:cs="Arial" w:eastAsia="Arial"/>
          <w:b w:val="0"/>
          <w:color w:val="444444"/>
          <w:sz w:val="20"/>
        </w:rPr>
        <w:t xml:space="preserve"> Extra water rights a developer must dedicate beyond a project's needs — 11 percent in the Truckee Meadows (the Reno–Sparks area).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Economic Forum:</w:t>
      </w:r>
      <w:r>
        <w:rPr>
          <w:rFonts w:ascii="Arial" w:hAnsi="Arial" w:cs="Arial" w:eastAsia="Arial"/>
          <w:b w:val="0"/>
          <w:color w:val="444444"/>
          <w:sz w:val="20"/>
        </w:rPr>
        <w:t xml:space="preserve"> Nevada's official five-member panel of private-sector experts whose revenue forecast the state budget must use; the brief's model for a proposed expert water body.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Evaporative cooling / water-cooled towers: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Cooling equipment that works by evaporating large volumes of water — the standard technology for big buildings and data centers in dry climates.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Federal drought-response money:</w:t>
      </w:r>
      <w:r>
        <w:rPr>
          <w:rFonts w:ascii="Arial" w:hAnsi="Arial" w:cs="Arial" w:eastAsia="Arial"/>
          <w:b w:val="0"/>
          <w:color w:val="444444"/>
          <w:sz w:val="20"/>
        </w:rPr>
        <w:t xml:space="preserve"> Funds Congress appropriated in 2022 that pay Colorado River users for measured water conservation.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Groundwater basin: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An underground water source managed as one unit. An over-appropriated basin has more rights on paper than real water; a critical management area is a severely over-pumped basin under stronger state controls.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Interstate compact: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binding agreement among states, approved by Congress. The Colorado River is divided among seven states by compact, so Nevada's share cannot be changed by a state bill.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Master plan: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local government's long-range blueprint for growth.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Metering / retail metering:</w:t>
      </w:r>
      <w:r>
        <w:rPr>
          <w:rFonts w:ascii="Arial" w:hAnsi="Arial" w:cs="Arial" w:eastAsia="Arial"/>
          <w:b w:val="0"/>
          <w:color w:val="444444"/>
          <w:sz w:val="20"/>
        </w:rPr>
        <w:t xml:space="preserve"> Measuring each customer's actual water use. Without retail meters, homes and businesses pay flat rates no matter how much they use.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Moratorium: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temporary ban — such as the local ban on new evaporative-cooling systems.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Old claims: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Water claims from before Nevada's permit system that have never been formally confirmed; "staff for old claims" means hiring people to settle them.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Post-2026 operating guidelines: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next set of federal rules for managing the Colorado River, under negotiation now to replace rules that expire in 2026.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Public-benefit metrics: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Measurable commitments — jobs, water savings — that a company would have to hit before receiving an incentive.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Refrigerants: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chemicals inside non-evaporative cooling equipment — the water-free alternative.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Shut-off protections: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Limits on when a utility may disconnect a customer's water service.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State Engineer:</w:t>
      </w:r>
      <w:r>
        <w:rPr>
          <w:rFonts w:ascii="Arial" w:hAnsi="Arial" w:cs="Arial" w:eastAsia="Arial"/>
          <w:b w:val="0"/>
          <w:color w:val="444444"/>
          <w:sz w:val="20"/>
        </w:rPr>
        <w:t xml:space="preserve"> Nevada's chief water regulator, who decides water-right applications and manages basins; head of the Division of Water Resources.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Tax abatement: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discount on a company's future taxes, granted up front to recruit it to Nevada. "Conditions on abatements" means attaching requirements before the discount is given.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Water authority: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regional agency, such as the Southern Nevada Water Authority, that manages supply for its area. Its rules are not state law.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Water-loss audit: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utility's accounting of water lost to leaks or never billed.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Water right: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legal entitlement to take a set amount of water from a set source. Nevada's water is fully spoken for in many places, so rights are bought, sold, dedicated, and retired like property.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Water-right dedication:</w:t>
      </w:r>
      <w:r>
        <w:rPr>
          <w:rFonts w:ascii="Arial" w:hAnsi="Arial" w:cs="Arial" w:eastAsia="Arial"/>
          <w:b w:val="0"/>
          <w:color w:val="444444"/>
          <w:sz w:val="20"/>
        </w:rPr>
        <w:t xml:space="preserve"> Handing water rights to a utility or authority as a condition of building — the "bring your own water" idea.</w:t>
      </w:r>
    </w:p>
    <w:p>
      <w:pPr>
        <w:sectPr>
          <w:type w:val="continuous"/>
          <w:pgSz w:w="12240" w:h="15840"/>
          <w:pgMar w:top="864" w:right="864" w:bottom="864" w:left="864" w:header="720" w:footer="720" w:gutter="0"/>
          <w:cols w:space="240" w:num="2"/>
          <w:docGrid w:linePitch="360"/>
        </w:sectPr>
      </w:pPr>
    </w:p>
    <w:p>
      <w:pPr>
        <w:widowControl/>
        <w:spacing w:before="100" w:after="40" w:lineRule="auto" w:line="254"/>
      </w:pPr>
      <w:r>
        <w:rPr>
          <w:rFonts w:ascii="Arial" w:hAnsi="Arial" w:cs="Arial" w:eastAsia="Arial"/>
          <w:b/>
          <w:color w:val="C0392B"/>
          <w:sz w:val="25"/>
          <w:spacing w:val="20"/>
        </w:rPr>
        <w:t>LEGISLATIVE PROCESS GUIDE</w:t>
      </w:r>
    </w:p>
    <w:p>
      <w:pPr>
        <w:sectPr>
          <w:pgSz w:w="12240" w:h="15840"/>
          <w:pgMar w:top="864" w:right="864" w:bottom="864" w:left="864" w:header="720" w:footer="720" w:gutter="0"/>
          <w:cols w:space="240" w:num="1"/>
          <w:docGrid w:linePitch="360"/>
        </w:sectPr>
      </w:pP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AB / SB: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Assembly Bill / Senate Bill — the chamber a bill started in, plus its number. Numbering restarts every session, so the same number in different years is a different bill.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Amendment / concurrence: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change made to a bill along the way; if one chamber amends, the other must vote to accept — "concur in" — the change. Bills can die awaiting that one last vote.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Appropriation: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bill or provision that sets aside state money for a purpose.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Chambers: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Legislature's two houses: the Assembly (42 members) and the Senate (21). A bill must pass both to reach the governor.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Committee / first committee: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small panel of lawmakers that studies a bill and votes on whether to send it onward; most bills that fail die in their first committee — "never heard" means no hearing at all.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D / R:</w:t>
      </w:r>
      <w:r>
        <w:rPr>
          <w:rFonts w:ascii="Arial" w:hAnsi="Arial" w:cs="Arial" w:eastAsia="Arial"/>
          <w:b w:val="0"/>
          <w:color w:val="444444"/>
          <w:sz w:val="20"/>
        </w:rPr>
        <w:t xml:space="preserve"> Democrat / Republican, shown after a legislator's name; "still serves" and "has left" reflect the current roster.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Delivered / signed / chapter: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passed bill is delivered to the governor; a signed bill becomes a numbered "chapter" of state law, and "no signature, no chapter" means it never became law.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Died at session's end / out of time: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bill that cleared every vote taken but ran out of calendar before the final step — in these briefs, a mark of proven support, not rejection.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Floor vote / floor calendar: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vote of the full chamber, and the schedule of bills waiting for one; a bill "dies on the calendar" when the session ends before its turn — a scheduling death, not a defeat.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Interim committee / interim study:</w:t>
      </w:r>
      <w:r>
        <w:rPr>
          <w:rFonts w:ascii="Arial" w:hAnsi="Arial" w:cs="Arial" w:eastAsia="Arial"/>
          <w:b w:val="0"/>
          <w:color w:val="444444"/>
          <w:sz w:val="20"/>
        </w:rPr>
        <w:t xml:space="preserve"> Panels that meet between sessions to study a topic and prepare recommendations for the next session.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Money committees / the money stage: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Assembly Ways and Means and Senate Finance review anything that costs money; bills with price tags routinely stop there without a vote against the policy itself.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Second house: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After passing the chamber where it started, a bill repeats the entire process — committee, then floor — in the other chamber.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Session: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Legislature meets for 120 days in odd-numbered years (2019, 2021, 2023, 2025); a bill that has not finished every step by then is dead and must start over in a future session.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Special session: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short extra meeting the governor calls for specific topics; bills that ran out of regular-session time can pass there.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Sponsor: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lawmaker or committee that formally introduces a bill; a committee-sponsored bill has no single author. Cross-party sponsorship — sponsors from both parties — is one of the strongest signals a bill will pass.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Statute / enacted:</w:t>
      </w:r>
      <w:r>
        <w:rPr>
          <w:rFonts w:ascii="Arial" w:hAnsi="Arial" w:cs="Arial" w:eastAsia="Arial"/>
          <w:b w:val="0"/>
          <w:color w:val="444444"/>
          <w:sz w:val="20"/>
        </w:rPr>
        <w:t xml:space="preserve"> A statute is a law on the books; an enacted bill is one that became law. "By rule, not statute" means an agency or local authority adopted something the Legislature has not.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Two-thirds majority: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constitution requires a two-thirds vote in each chamber — 28 of 42, 14 of 21 — for any measure raising revenue, including fees; a bill can win a majority and still fail this bar.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Veto:</w:t>
      </w:r>
      <w:r>
        <w:rPr>
          <w:rFonts w:ascii="Arial" w:hAnsi="Arial" w:cs="Arial" w:eastAsia="Arial"/>
          <w:b w:val="0"/>
          <w:color w:val="444444"/>
          <w:sz w:val="20"/>
        </w:rPr>
        <w:t xml:space="preserve"> The governor's rejection of a bill that passed both chambers. A vetoed bill does not become law unless two-thirds of each chamber votes to override the veto.</w:t>
      </w:r>
    </w:p>
    <w:p>
      <w:pPr>
        <w:widowControl/>
        <w:spacing w:before="0" w:after="44" w:lineRule="auto" w:line="240"/>
        <w:ind w:left="200"/>
      </w:pPr>
      <w:r>
        <w:rPr>
          <w:rFonts w:ascii="Arial" w:hAnsi="Arial" w:cs="Arial" w:eastAsia="Arial"/>
          <w:b w:val="0"/>
          <w:color w:val="C0392B"/>
          <w:sz w:val="20"/>
        </w:rPr>
        <w:t xml:space="preserve">▪  </w:t>
      </w:r>
      <w:r>
        <w:rPr>
          <w:rFonts w:ascii="Arial" w:hAnsi="Arial" w:cs="Arial" w:eastAsia="Arial"/>
          <w:b/>
          <w:color w:val="1A2D4F"/>
          <w:sz w:val="20"/>
        </w:rPr>
        <w:t>Vote pairs such as "42–0 and 21–0":</w:t>
      </w:r>
      <w:r>
        <w:rPr>
          <w:rFonts w:ascii="Arial" w:hAnsi="Arial" w:cs="Arial" w:eastAsia="Arial"/>
          <w:b w:val="0"/>
          <w:color w:val="444444"/>
          <w:sz w:val="20"/>
        </w:rPr>
        <w:t xml:space="preserve"> Floor votes are yes–no tallies, one per chamber; 42–0 is a unanimous Assembly vote, 21–0 a unanimous Senate vote.</w:t>
      </w:r>
    </w:p>
    <w:p>
      <w:pPr>
        <w:sectPr>
          <w:type w:val="continuous"/>
          <w:pgSz w:w="12240" w:h="15840"/>
          <w:pgMar w:top="864" w:right="864" w:bottom="864" w:left="864" w:header="720" w:footer="720" w:gutter="0"/>
          <w:cols w:space="240" w:num="2"/>
          <w:docGrid w:linePitch="360"/>
        </w:sectPr>
      </w:pPr>
    </w:p>
    <w:p>
      <w:pPr>
        <w:widowControl/>
        <w:spacing w:before="40" w:after="0" w:lineRule="auto" w:line="254"/>
        <w:pBdr>
          <w:top w:val="single" w:sz="6" w:space="4" w:color="C8CDD6"/>
        </w:pBdr>
      </w:pPr>
      <w:r>
        <w:rPr>
          <w:rFonts w:ascii="Arial" w:hAnsi="Arial" w:cs="Arial" w:eastAsia="Arial"/>
          <w:b w:val="0"/>
          <w:color w:val="666666"/>
          <w:sz w:val="20"/>
          <w:spacing w:val="4"/>
        </w:rPr>
        <w:t>Companion glossary to the citizen brief v3.0</w:t>
      </w:r>
    </w:p>
    <w:sectPr w:rsidR="00FC693F" w:rsidRPr="0006063C" w:rsidSect="00034616">
      <w:type w:val="continuous"/>
      <w:pgSz w:w="12240" w:h="15840"/>
      <w:pgMar w:top="864" w:right="864" w:bottom="864" w:left="864" w:header="720" w:footer="720" w:gutter="0"/>
      <w:cols w:space="24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