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 w:lineRule="auto" w:line="254"/>
      </w:pPr>
      <w:r>
        <w:rPr>
          <w:rFonts w:ascii="Arial" w:hAnsi="Arial" w:cs="Arial" w:eastAsia="Arial"/>
          <w:b/>
          <w:color w:val="1A2D4F"/>
          <w:sz w:val="20"/>
          <w:spacing w:val="20"/>
        </w:rPr>
        <w:t>T H E   F O R U M</w:t>
      </w:r>
    </w:p>
    <w:p>
      <w:pPr>
        <w:widowControl/>
        <w:spacing w:before="0" w:after="120" w:lineRule="auto" w:line="254"/>
        <w:pBdr>
          <w:bottom w:val="single" w:sz="20" w:space="2" w:color="1A2D4F"/>
        </w:pBdr>
      </w:pPr>
    </w:p>
    <w:p>
      <w:pPr>
        <w:widowControl/>
        <w:spacing w:before="0" w:after="40" w:lineRule="auto" w:line="252"/>
      </w:pPr>
      <w:r>
        <w:rPr>
          <w:rFonts w:ascii="Arial" w:hAnsi="Arial" w:cs="Arial" w:eastAsia="Arial"/>
          <w:b/>
          <w:color w:val="1A2D4F"/>
          <w:sz w:val="36"/>
        </w:rPr>
        <w:t>Growth, Infrastructure, and Roads in South Carolina</w:t>
      </w:r>
    </w:p>
    <w:p>
      <w:pPr>
        <w:widowControl/>
        <w:spacing w:before="0" w:after="120" w:lineRule="auto" w:line="254"/>
      </w:pPr>
      <w:r>
        <w:rPr>
          <w:rFonts w:ascii="Arial" w:hAnsi="Arial" w:cs="Arial" w:eastAsia="Arial"/>
          <w:b w:val="0"/>
          <w:color w:val="444444"/>
          <w:sz w:val="20"/>
        </w:rPr>
        <w:t>The legislative record behind South Carolinians' seven growth-and-roads proposals, 2019–2026.</w:t>
      </w:r>
    </w:p>
    <w:p>
      <w:pPr>
        <w:widowControl/>
        <w:spacing w:before="84" w:after="36" w:lineRule="auto" w:line="254"/>
      </w:pPr>
      <w:r>
        <w:rPr>
          <w:rFonts w:ascii="Arial" w:hAnsi="Arial" w:cs="Arial" w:eastAsia="Arial"/>
          <w:b/>
          <w:color w:val="C0392B"/>
          <w:sz w:val="25"/>
          <w:spacing w:val="20"/>
        </w:rPr>
        <w:t>THE LEGISLATIVE LANDSCAPE</w:t>
      </w:r>
    </w:p>
    <w:p>
      <w:pPr>
        <w:widowControl/>
        <w:spacing w:before="0" w:after="49" w:lineRule="auto" w:line="247"/>
        <w:jc w:val="both"/>
      </w:pPr>
      <w:r>
        <w:rPr>
          <w:rFonts w:ascii="Arial" w:hAnsi="Arial" w:cs="Arial" w:eastAsia="Arial"/>
          <w:b w:val="0"/>
          <w:color w:val="444444"/>
          <w:sz w:val="20"/>
        </w:rPr>
        <w:t>Across the last four two-year sessions (2019–2026), the General Assembly took up 161 bills in this set — local penny taxes and tolls, impact fees on developers, the gas tax, road maintenance, who runs SCDOT, road contracts, transit and rail, and planning for growth. Most never got a hearing: 138 of the 161 died in their first committee, and the biggest single wall was money — House Ways and Means and Senate Finance stopped 58 of them, because most growth ideas are tax or fee ideas. Not one bill in this set ever lost a passage vote on the floor; bills died by committee silence. Twelve became law, and the pattern in what passed is striking: the legislature rebuilt who runs the roads agency (the SCDOT Modernization Act), created one new local tax — for green space, not roads — and moved the big road money through the annual state budget instead of standalone laws.</w:t>
      </w:r>
    </w:p>
    <w:p>
      <w:pPr>
        <w:widowControl/>
        <w:spacing w:before="84" w:after="36" w:lineRule="auto" w:line="254"/>
      </w:pPr>
      <w:r>
        <w:rPr>
          <w:rFonts w:ascii="Arial" w:hAnsi="Arial" w:cs="Arial" w:eastAsia="Arial"/>
          <w:b/>
          <w:color w:val="C0392B"/>
          <w:sz w:val="25"/>
          <w:spacing w:val="20"/>
        </w:rPr>
        <w:t>KEY NUMBERS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37–1 and 114–0</w:t>
      </w:r>
      <w:r>
        <w:rPr>
          <w:rFonts w:ascii="Arial" w:hAnsi="Arial" w:cs="Arial" w:eastAsia="Arial"/>
          <w:b w:val="0"/>
          <w:color w:val="444444"/>
          <w:sz w:val="20"/>
        </w:rPr>
        <w:t xml:space="preserve"> — the SCDOT Modernization Act (S831, Act 177 of 2026): the Governor now appoints the transportation secretary, after the same idea sat unheard in 2019 and 2024</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$417.4 million</w:t>
      </w:r>
      <w:r>
        <w:rPr>
          <w:rFonts w:ascii="Arial" w:hAnsi="Arial" w:cs="Arial" w:eastAsia="Arial"/>
          <w:b w:val="0"/>
          <w:color w:val="444444"/>
          <w:sz w:val="20"/>
        </w:rPr>
        <w:t xml:space="preserve"> — the FY 2024-25 budget's one-time roads package: $200M for county road boards, $100M for bridges, $117.4M for rural road safety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0 hearings in eight years</w:t>
      </w:r>
      <w:r>
        <w:rPr>
          <w:rFonts w:ascii="Arial" w:hAnsi="Arial" w:cs="Arial" w:eastAsia="Arial"/>
          <w:b w:val="0"/>
          <w:color w:val="444444"/>
          <w:sz w:val="20"/>
        </w:rPr>
        <w:t xml:space="preserve"> for all 10 impact-fee bills and all 11 transit-and-rail bills</w:t>
      </w:r>
    </w:p>
    <w:tbl>
      <w:tblPr>
        <w:tblW w:type="auto" w:w="0"/>
        <w:jc w:val="center"/>
        <w:tblLayout w:type="autofit"/>
        <w:tblLook w:firstColumn="1" w:firstRow="1" w:lastColumn="0" w:lastRow="0" w:noHBand="0" w:noVBand="1" w:val="04A0"/>
      </w:tblPr>
      <w:tblGrid>
        <w:gridCol w:w="5256"/>
        <w:gridCol w:w="5256"/>
      </w:tblGrid>
      <w:tr>
        <w:tc>
          <w:tcPr>
            <w:tcW w:type="dxa" w:w="5256"/>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36"/>
              </w:rPr>
              <w:t>161</w:t>
            </w:r>
          </w:p>
          <w:p>
            <w:pPr>
              <w:spacing w:after="0" w:line="240" w:lineRule="auto"/>
            </w:pPr>
            <w:r>
              <w:rPr>
                <w:rFonts w:ascii="Arial" w:hAnsi="Arial" w:cs="Arial" w:eastAsia="Arial"/>
                <w:b w:val="0"/>
                <w:color w:val="666666"/>
                <w:sz w:val="20"/>
              </w:rPr>
              <w:t>growth, infrastructure, and roads bills, 2019–2026</w:t>
            </w:r>
          </w:p>
        </w:tc>
        <w:tc>
          <w:tcPr>
            <w:tcW w:type="dxa" w:w="5256"/>
            <w:tcBorders>
              <w:top w:val="single" w:sz="24" w:space="0" w:color="1A2D4F"/>
              <w:left w:val="single" w:sz="4" w:space="0" w:color="CCCCCC"/>
              <w:bottom w:val="single" w:sz="4" w:space="0" w:color="CCCCCC"/>
              <w:right w:val="single" w:sz="4" w:space="0" w:color="CCCCCC"/>
            </w:tcBorders>
            <w:tcMar>
              <w:top w:w="50" w:type="dxa"/>
              <w:left w:w="90" w:type="dxa"/>
              <w:bottom w:w="60" w:type="dxa"/>
              <w:right w:w="90" w:type="dxa"/>
            </w:tcMar>
          </w:tcPr>
          <w:p>
            <w:pPr>
              <w:spacing w:after="20"/>
            </w:pPr>
            <w:r>
              <w:rPr>
                <w:rFonts w:ascii="Arial" w:hAnsi="Arial" w:cs="Arial" w:eastAsia="Arial"/>
                <w:b/>
                <w:color w:val="1A2D4F"/>
                <w:sz w:val="28"/>
              </w:rPr>
              <w:t>138 of 161</w:t>
            </w:r>
          </w:p>
          <w:p>
            <w:pPr>
              <w:spacing w:after="0" w:line="240" w:lineRule="auto"/>
            </w:pPr>
            <w:r>
              <w:rPr>
                <w:rFonts w:ascii="Arial" w:hAnsi="Arial" w:cs="Arial" w:eastAsia="Arial"/>
                <w:b w:val="0"/>
                <w:color w:val="666666"/>
                <w:sz w:val="20"/>
              </w:rPr>
              <w:t>died in their first committee — 58 of them in the two money committees</w:t>
            </w:r>
          </w:p>
        </w:tc>
      </w:tr>
    </w:tbl>
    <w:p>
      <w:pPr>
        <w:widowControl/>
        <w:spacing w:before="0" w:after="40" w:lineRule="auto" w:line="254"/>
      </w:pPr>
    </w:p>
    <w:p>
      <w:pPr>
        <w:widowControl/>
        <w:spacing w:before="84" w:after="36" w:lineRule="auto" w:line="254"/>
      </w:pPr>
      <w:r>
        <w:rPr>
          <w:rFonts w:ascii="Arial" w:hAnsi="Arial" w:cs="Arial" w:eastAsia="Arial"/>
          <w:b/>
          <w:color w:val="C0392B"/>
          <w:sz w:val="25"/>
          <w:spacing w:val="20"/>
        </w:rPr>
        <w:t>ALSO IN THE STATE BUDGET (PROVISOS)</w:t>
      </w:r>
    </w:p>
    <w:p>
      <w:pPr>
        <w:widowControl/>
        <w:spacing w:before="0" w:after="49" w:lineRule="auto" w:line="247"/>
        <w:jc w:val="both"/>
      </w:pPr>
      <w:r>
        <w:rPr>
          <w:rFonts w:ascii="Arial" w:hAnsi="Arial" w:cs="Arial" w:eastAsia="Arial"/>
          <w:b w:val="0"/>
          <w:color w:val="444444"/>
          <w:sz w:val="20"/>
        </w:rPr>
        <w:t>Much of what happens on roads never appears in a stand-alone law. It rides in provisos — one-year policy rules enacted inside the annual budget bill. FY 2026-27 proviso 84.18 (DOT: Road Buyback Program) is new this year: SCDOT must list state roads that no longer serve a statewide purpose and negotiate paying counties and cities to take them back, resurfaced first. FY 2024-25 proviso 118.22 (SR: Homestead Exemption Fund) carried the record's largest one-time roads package — $200,000,000 to a CTC Acceleration Fund for county road boards, $100,000,000 to a Bridge Acceleration Fund, and $117,401,000 to a Rural Road Safety Program — followed by $200,000,000 for Bridge Modernization in FY 2025-26 and $225,000,000 more in FY 2026-27. And FY 2021-22 proviso 117.96 (GP: School Construction Development Impact Fee Assessment Prohibition) barred impact fees on new school construction for one year — the only time the legislature acted on impact fees, it was to block them, and the rule was not renewed. FY 2020-21 had no enacted budget (COVID; the state ran on a continuing resolution), so no provisos exist for that year. Votes on provisos are votes on the whole budget bill, never on one proviso alone.</w:t>
      </w:r>
    </w:p>
    <w:p>
      <w:pPr>
        <w:widowControl/>
        <w:spacing w:before="84" w:after="36" w:lineRule="auto" w:line="254"/>
      </w:pPr>
      <w:r>
        <w:rPr>
          <w:rFonts w:ascii="Arial" w:hAnsi="Arial" w:cs="Arial" w:eastAsia="Arial"/>
          <w:b/>
          <w:color w:val="C0392B"/>
          <w:sz w:val="25"/>
          <w:spacing w:val="20"/>
        </w:rPr>
        <w:t>WHERE SOMETHING FINISHED</w:t>
      </w:r>
    </w:p>
    <w:p>
      <w:pPr>
        <w:widowControl/>
        <w:spacing w:before="0" w:after="49" w:lineRule="auto" w:line="247"/>
        <w:jc w:val="both"/>
      </w:pPr>
      <w:r>
        <w:rPr>
          <w:rFonts w:ascii="Arial" w:hAnsi="Arial" w:cs="Arial" w:eastAsia="Arial"/>
          <w:b/>
          <w:color w:val="1A2D4F"/>
          <w:sz w:val="20"/>
        </w:rPr>
        <w:t>One new local funding tool — for land, not roads [P-local-funding-tools].</w:t>
      </w:r>
      <w:r>
        <w:rPr>
          <w:rFonts w:ascii="Arial" w:hAnsi="Arial" w:cs="Arial" w:eastAsia="Arial"/>
          <w:b w:val="0"/>
          <w:color w:val="444444"/>
          <w:sz w:val="20"/>
        </w:rPr>
        <w:t xml:space="preserve"> The County Green Space Sales Tax Act (S152, Act 166 of 2022) created a new voter-approved penny tax counties can use to preserve green space. It passed the Senate 43–1 and 41–3 and the House 67–28 — while every bill to widen the existing *transportation* penny tax (so it could clearly fund transit, stack with other pennies, or run eleven years) died in the same money committees without a hearing. Smaller flexibility laws also passed: tourism taxes can now fund flooding and drainage repairs (Act 146 of 2020), paid beach parking got state rules (Act 89 of 2021), and the school-buildings penny was opened to more counties (Act 203 of 2026, House 81–18).</w:t>
      </w:r>
    </w:p>
    <w:p>
      <w:pPr>
        <w:widowControl/>
        <w:spacing w:before="0" w:after="49" w:lineRule="auto" w:line="247"/>
        <w:jc w:val="both"/>
      </w:pPr>
      <w:r>
        <w:rPr>
          <w:rFonts w:ascii="Arial" w:hAnsi="Arial" w:cs="Arial" w:eastAsia="Arial"/>
          <w:b/>
          <w:color w:val="1A2D4F"/>
          <w:sz w:val="20"/>
        </w:rPr>
        <w:t>Who runs SCDOT [P-contractor-accountability].</w:t>
      </w:r>
      <w:r>
        <w:rPr>
          <w:rFonts w:ascii="Arial" w:hAnsi="Arial" w:cs="Arial" w:eastAsia="Arial"/>
          <w:b w:val="0"/>
          <w:color w:val="444444"/>
          <w:sz w:val="20"/>
        </w:rPr>
        <w:t xml:space="preserve"> The SCDOT Modernization Act (S831, Act 177 of 2026) made the Governor — not a seven-member commission — appoint the Secretary of Transportation, and handed the commission's duties to the secretary. It passed the Senate 37–1 and the House 114–0, with the final version adopted 112–2 and 43–0. The same design had been filed in 2019 (H3111) and 2024 (H5045) and died in committee both times without a hearing. Around the edges: the rule making road-project builders pay to relocate water and sewer lines (Act 36 of 2019, 38–0 and 108–0) was extended to 2032 (Act 244 of 2026).</w:t>
      </w:r>
    </w:p>
    <w:p>
      <w:pPr>
        <w:widowControl/>
        <w:spacing w:before="84" w:after="36" w:lineRule="auto" w:line="254"/>
      </w:pPr>
      <w:r>
        <w:rPr>
          <w:rFonts w:ascii="Arial" w:hAnsi="Arial" w:cs="Arial" w:eastAsia="Arial"/>
          <w:b/>
          <w:color w:val="C0392B"/>
          <w:sz w:val="25"/>
          <w:spacing w:val="20"/>
        </w:rPr>
        <w:t>GOT SUPPORT BUT DIDN'T FINISH</w:t>
      </w:r>
    </w:p>
    <w:p>
      <w:pPr>
        <w:widowControl/>
        <w:spacing w:before="0" w:after="49" w:lineRule="auto" w:line="247"/>
        <w:jc w:val="both"/>
      </w:pPr>
      <w:r>
        <w:rPr>
          <w:rFonts w:ascii="Arial" w:hAnsi="Arial" w:cs="Arial" w:eastAsia="Arial"/>
          <w:b/>
          <w:color w:val="1A2D4F"/>
          <w:sz w:val="20"/>
        </w:rPr>
        <w:t>The freight-rail tax credit — twice.</w:t>
      </w:r>
      <w:r>
        <w:rPr>
          <w:rFonts w:ascii="Arial" w:hAnsi="Arial" w:cs="Arial" w:eastAsia="Arial"/>
          <w:b w:val="0"/>
          <w:color w:val="444444"/>
          <w:sz w:val="20"/>
        </w:rPr>
        <w:t xml:space="preserve"> The Shortline Railroad Modernization Act (a tax credit for small railroads rebuilding track) passed the House 106–3 in 2022 (H4817) and 65–46 in 2023 (H3737) — and died in Senate Finance both times. </w:t>
      </w:r>
      <w:r>
        <w:rPr>
          <w:rFonts w:ascii="Arial" w:hAnsi="Arial" w:cs="Arial" w:eastAsia="Arial"/>
          <w:b/>
          <w:color w:val="1A2D4F"/>
          <w:sz w:val="20"/>
        </w:rPr>
        <w:t>Water-and-sewer consolidation.</w:t>
      </w:r>
      <w:r>
        <w:rPr>
          <w:rFonts w:ascii="Arial" w:hAnsi="Arial" w:cs="Arial" w:eastAsia="Arial"/>
          <w:b w:val="0"/>
          <w:color w:val="444444"/>
          <w:sz w:val="20"/>
        </w:rPr>
        <w:t xml:space="preserve"> The Rural Infrastructure Authority package (H3075) passed the House 112–0 in 2023 and also died in Senate Finance. </w:t>
      </w:r>
      <w:r>
        <w:rPr>
          <w:rFonts w:ascii="Arial" w:hAnsi="Arial" w:cs="Arial" w:eastAsia="Arial"/>
          <w:b/>
          <w:color w:val="1A2D4F"/>
          <w:sz w:val="20"/>
        </w:rPr>
        <w:t>Growth-waits-for-infrastructure.</w:t>
      </w:r>
      <w:r>
        <w:rPr>
          <w:rFonts w:ascii="Arial" w:hAnsi="Arial" w:cs="Arial" w:eastAsia="Arial"/>
          <w:b w:val="0"/>
          <w:color w:val="444444"/>
          <w:sz w:val="20"/>
        </w:rPr>
        <w:t xml:space="preserve"> The concurrency bill (S227, filed 2025) — letting local governments require that roads and pipes keep pace before new development is approved — got further than anything else in the growth-management lane: reported favorably and amended on the Senate floor in the session's final weeks, then died without completing passage.</w:t>
      </w:r>
    </w:p>
    <w:p>
      <w:pPr>
        <w:widowControl/>
        <w:spacing w:before="84" w:after="36" w:lineRule="auto" w:line="254"/>
      </w:pPr>
      <w:r>
        <w:rPr>
          <w:rFonts w:ascii="Arial" w:hAnsi="Arial" w:cs="Arial" w:eastAsia="Arial"/>
          <w:b/>
          <w:color w:val="C0392B"/>
          <w:sz w:val="25"/>
          <w:spacing w:val="20"/>
        </w:rPr>
        <w:t>RARELY MOVED BEFORE</w:t>
      </w:r>
    </w:p>
    <w:p>
      <w:pPr>
        <w:widowControl/>
        <w:spacing w:before="0" w:after="49" w:lineRule="auto" w:line="247"/>
        <w:jc w:val="both"/>
      </w:pPr>
      <w:r>
        <w:rPr>
          <w:rFonts w:ascii="Arial" w:hAnsi="Arial" w:cs="Arial" w:eastAsia="Arial"/>
          <w:b/>
          <w:color w:val="1A2D4F"/>
          <w:sz w:val="20"/>
        </w:rPr>
        <w:t>Making developers pay [P-developer-pays-growth].</w:t>
      </w:r>
      <w:r>
        <w:rPr>
          <w:rFonts w:ascii="Arial" w:hAnsi="Arial" w:cs="Arial" w:eastAsia="Arial"/>
          <w:b w:val="0"/>
          <w:color w:val="444444"/>
          <w:sz w:val="20"/>
        </w:rPr>
        <w:t xml:space="preserve"> South Carolina has had a Development Impact Fee Act since 1999, so the ten bills here fought over its shape — expanding it (letting fees cover road resurfacing, H5088; residential-only fees, H4659; a developer fee funding help for longtime residents, H3460 and H4008) and narrowing it for the building industry (excluding maintenance and administrative costs, H4981, S856, H5017, H3165; exempting repeat local buyers, H4672). Not one impact-fee bill received a hearing or a vote in eight years, in either direction. No bill proposes a proffer system.</w:t>
      </w:r>
    </w:p>
    <w:p>
      <w:pPr>
        <w:widowControl/>
        <w:spacing w:before="0" w:after="49" w:lineRule="auto" w:line="247"/>
        <w:jc w:val="both"/>
      </w:pPr>
      <w:r>
        <w:rPr>
          <w:rFonts w:ascii="Arial" w:hAnsi="Arial" w:cs="Arial" w:eastAsia="Arial"/>
          <w:b/>
          <w:color w:val="1A2D4F"/>
          <w:sz w:val="20"/>
        </w:rPr>
        <w:t>Transit and rail [P-multimodal-transport].</w:t>
      </w:r>
      <w:r>
        <w:rPr>
          <w:rFonts w:ascii="Arial" w:hAnsi="Arial" w:cs="Arial" w:eastAsia="Arial"/>
          <w:b w:val="0"/>
          <w:color w:val="444444"/>
          <w:sz w:val="20"/>
        </w:rPr>
        <w:t xml:space="preserve"> Every transit bill died in its first committee across four sessions: complete streets (H3656), transit-oriented development (H3655, H4013), developer-built transit stops (H3828), four commuter- and high-speed-rail study commissions, the Charlotte transit connection study (S730), and commuter rail along highways (H5347). Zero hearings. The only rail measure with floor support was the freight credit above.</w:t>
      </w:r>
    </w:p>
    <w:p>
      <w:pPr>
        <w:widowControl/>
        <w:spacing w:before="0" w:after="49" w:lineRule="auto" w:line="247"/>
        <w:jc w:val="both"/>
      </w:pPr>
      <w:r>
        <w:rPr>
          <w:rFonts w:ascii="Arial" w:hAnsi="Arial" w:cs="Arial" w:eastAsia="Arial"/>
          <w:b/>
          <w:color w:val="1A2D4F"/>
          <w:sz w:val="20"/>
        </w:rPr>
        <w:t>The gas-tax fights — both directions [P-no-new-taxes] [P-fix-roads-first].</w:t>
      </w:r>
      <w:r>
        <w:rPr>
          <w:rFonts w:ascii="Arial" w:hAnsi="Arial" w:cs="Arial" w:eastAsia="Arial"/>
          <w:b w:val="0"/>
          <w:color w:val="444444"/>
          <w:sz w:val="20"/>
        </w:rPr>
        <w:t xml:space="preserve"> Ten measures to freeze, repeal, or suspend the gas user fee (four in the 2022 price spike, six in 2026) all died in the money committees without a vote — and so did the one bill pointing the other way, which would have more than doubled the counties' share of the gas fee for local roads (H5331). Every maintenance-accountability bill died too: the "Fix Our Roads" pavement preservation program (H5363), pothole-damage hotlines (H3871, H3451), and sheriff road-hazard reports (H4687). The fix-it-first money moved through the budget instead (see the proviso callout).</w:t>
      </w:r>
    </w:p>
    <w:p>
      <w:pPr>
        <w:widowControl/>
        <w:spacing w:before="0" w:after="49" w:lineRule="auto" w:line="247"/>
        <w:jc w:val="both"/>
      </w:pPr>
      <w:r>
        <w:rPr>
          <w:rFonts w:ascii="Arial" w:hAnsi="Arial" w:cs="Arial" w:eastAsia="Arial"/>
          <w:b/>
          <w:color w:val="1A2D4F"/>
          <w:sz w:val="20"/>
        </w:rPr>
        <w:t>Planning for growth [P-state-master-planning].</w:t>
      </w:r>
      <w:r>
        <w:rPr>
          <w:rFonts w:ascii="Arial" w:hAnsi="Arial" w:cs="Arial" w:eastAsia="Arial"/>
          <w:b w:val="0"/>
          <w:color w:val="444444"/>
          <w:sz w:val="20"/>
        </w:rPr>
        <w:t xml:space="preserve"> No bill in this record proposes state or regional master planning — that lever has not been filed. What exists is state rules on local plans: the Disaster Relief and Resilience Act (S259, Act 163 of 2020, Senate 44–1, House 65–35) created a state Office of Resilience and required every local comprehensive plan to add a resiliency element. The annexation-control bills (counties blocking annexation until an infrastructure study, H5742; county standing to challenge annexations, H4651) and the developer-side bills pulling the opposite way (faster permits, housing-cost impact analyses) all died in committee.</w:t>
      </w:r>
    </w:p>
    <w:p>
      <w:pPr>
        <w:widowControl/>
        <w:spacing w:before="84" w:after="36" w:lineRule="auto" w:line="254"/>
      </w:pPr>
      <w:r>
        <w:rPr>
          <w:rFonts w:ascii="Arial" w:hAnsi="Arial" w:cs="Arial" w:eastAsia="Arial"/>
          <w:b/>
          <w:color w:val="C0392B"/>
          <w:sz w:val="25"/>
          <w:spacing w:val="20"/>
        </w:rPr>
        <w:t>THE POLITICAL TERRAIN</w:t>
      </w:r>
    </w:p>
    <w:p>
      <w:pPr>
        <w:widowControl/>
        <w:spacing w:before="0" w:after="49" w:lineRule="auto" w:line="247"/>
        <w:jc w:val="both"/>
      </w:pPr>
      <w:r>
        <w:rPr>
          <w:rFonts w:ascii="Arial" w:hAnsi="Arial" w:cs="Arial" w:eastAsia="Arial"/>
          <w:b w:val="0"/>
          <w:color w:val="444444"/>
          <w:sz w:val="20"/>
        </w:rPr>
        <w:t>The wall for this issue is not one committee — it is the money rooms. House Ways and Means stopped 41 of the 138 first-committee deaths and Senate Finance 17 more, because penny taxes, tolls, impact fees, and gas-fee bills are all revenue bills; House Education and Public Works (the House's transportation committee) stopped another 21. The frequent sponsors kept refiling: Rep. Pendarvis led twelve of these bills (nearly the whole transit lane, penny stacking, EV-fee repeals), Sen. Davis seven (the enacted green space penny, the penny expansions, and the 2026 concurrency bill), Rep. Hixon seven (rural water-sewer infrastructure and road maintenance), Sen. Scott six (transit funding and broadband), and Sen. Hutto the three I-95 toll bills. In 2026, Rep. White filed a four-bill SCDOT accountability package (road-hazard reports, a bigger county gas-fee share, dissolving the commission, pavement preservation) — all four died in committee the same spring the Senate's SCDOT bill passed the House 114–0.</w:t>
      </w:r>
    </w:p>
    <w:p>
      <w:pPr>
        <w:widowControl/>
        <w:spacing w:before="84" w:after="36" w:lineRule="auto" w:line="254"/>
      </w:pPr>
      <w:r>
        <w:rPr>
          <w:rFonts w:ascii="Arial" w:hAnsi="Arial" w:cs="Arial" w:eastAsia="Arial"/>
          <w:b/>
          <w:color w:val="C0392B"/>
          <w:sz w:val="25"/>
          <w:spacing w:val="20"/>
        </w:rPr>
        <w:t>NEW FROM THE 2025–2026 SESSION</w:t>
      </w:r>
    </w:p>
    <w:p>
      <w:pPr>
        <w:widowControl/>
        <w:spacing w:before="0" w:after="49" w:lineRule="auto" w:line="247"/>
        <w:jc w:val="both"/>
      </w:pPr>
      <w:r>
        <w:rPr>
          <w:rFonts w:ascii="Arial" w:hAnsi="Arial" w:cs="Arial" w:eastAsia="Arial"/>
          <w:b w:val="0"/>
          <w:color w:val="444444"/>
          <w:sz w:val="20"/>
        </w:rPr>
        <w:t>One structural law: the SCDOT Modernization Act (S831, Act 177 of 2026, 37–1 and 114–0) — the Governor now appoints the transportation secretary. Three smaller laws: the school-buildings penny expansion (H4589, Act 203, 81–18 and 40–2), the utility-relocation extension (H3768, Act 244, 103–0 and 44–0), and transit-facility trespass (S399, Act 222, 44–0 and 107–0). One near miss: the concurrency bill (S227) died on the Senate floor calendar after being amended in the final weeks. The FY 2026-27 budget created the Road Buyback Program (proviso 84.18), added $175 million for county road boards and $50 million for bridges, and renewed the fix-it-first rule for county road money (86.1) and SCDOT's public project dashboard directive (84.15).</w:t>
      </w:r>
    </w:p>
    <w:p>
      <w:pPr>
        <w:widowControl/>
        <w:spacing w:before="84" w:after="36" w:lineRule="auto" w:line="254"/>
      </w:pPr>
      <w:r>
        <w:rPr>
          <w:rFonts w:ascii="Arial" w:hAnsi="Arial" w:cs="Arial" w:eastAsia="Arial"/>
          <w:b/>
          <w:color w:val="C0392B"/>
          <w:sz w:val="25"/>
          <w:spacing w:val="20"/>
        </w:rPr>
        <w:t>PROPOSAL SPOTLIGHTS</w:t>
      </w:r>
    </w:p>
    <w:p>
      <w:pPr>
        <w:widowControl/>
        <w:spacing w:before="84" w:after="36" w:lineRule="auto" w:line="254"/>
      </w:pPr>
      <w:r>
        <w:rPr>
          <w:rFonts w:ascii="Arial" w:hAnsi="Arial" w:cs="Arial" w:eastAsia="Arial"/>
          <w:b/>
          <w:color w:val="C0392B"/>
          <w:sz w:val="25"/>
          <w:spacing w:val="20"/>
        </w:rPr>
        <w:t>NEW OR EXPANDED LOCAL FUNDING TOOLS [P-LOCAL-FUNDING-TOOLS]</w:t>
      </w:r>
    </w:p>
    <w:p>
      <w:pPr>
        <w:widowControl/>
        <w:spacing w:before="0" w:after="49" w:lineRule="auto" w:line="247"/>
        <w:jc w:val="both"/>
      </w:pPr>
      <w:r>
        <w:rPr>
          <w:rFonts w:ascii="Arial" w:hAnsi="Arial" w:cs="Arial" w:eastAsia="Arial"/>
          <w:b/>
          <w:color w:val="1A2D4F"/>
          <w:sz w:val="20"/>
        </w:rPr>
        <w:t>The tools mostly exist; the fights are over widening them — and only the green-space penny won.</w:t>
      </w:r>
      <w:r>
        <w:rPr>
          <w:rFonts w:ascii="Arial" w:hAnsi="Arial" w:cs="Arial" w:eastAsia="Arial"/>
          <w:b w:val="0"/>
          <w:color w:val="444444"/>
          <w:sz w:val="20"/>
        </w:rPr>
        <w:t xml:space="preserve"> Counties can already ask voters for a transportation penny tax (which can include tolls) and a capital project penny. The filed bills tried to widen them: making clear the transportation penny can fund mass transit (filed in all four sessions: S611 and H4389 in 2019, H3535 and S437 in 2021, S290, S562, and H4059 in 2023, S979 in 2026), letting pennies stack (H3129, 2021), letting a renewed penny run eleven years instead of seven (S116, 2023), and exempting groceries (H5188, S1113, 2024). Every one died in Senate Finance or House Ways and Means without a hearing. Tolls fared no better: four bills to toll I-95 at Lake Marion (S178 and H3739 in 2019, S780's toll-review mandate, S499 in 2023) and the Interstate 95 Bridge Toll Act (S674, 2023) died in first committee, as did a local-option one-cent gas fee for beach renourishment (S172, 2019). What passed: the County Green Space Sales Tax Act (S152, Act 166 of 2022, Senate 43–1 and 41–3, House 67–28) — a genuinely new, voter-approved local penny, for preserving land rather than building roads — plus flexibility laws letting tourism taxes fund flooding and drainage repair (S217, Act 146 of 2020, 34–2 and 87–15), setting beach-parking rules (S40, Act 89 of 2021, 44–0 and 102–10), and opening the education penny to more counties (H4589, Act 203 of 2026). Every local tool in this record requires a county referendum — the ballot question must list the projects, which is where the transparency condition citizens attached already lives in the law.</w:t>
      </w:r>
    </w:p>
    <w:p>
      <w:pPr>
        <w:widowControl/>
        <w:spacing w:before="84" w:after="36" w:lineRule="auto" w:line="254"/>
      </w:pPr>
      <w:r>
        <w:rPr>
          <w:rFonts w:ascii="Arial" w:hAnsi="Arial" w:cs="Arial" w:eastAsia="Arial"/>
          <w:b/>
          <w:color w:val="C0392B"/>
          <w:sz w:val="25"/>
          <w:spacing w:val="20"/>
        </w:rPr>
        <w:t>MAKING DEVELOPERS PAY FOR GROWTH [P-DEVELOPER-PAYS-GROWTH]</w:t>
      </w:r>
    </w:p>
    <w:p>
      <w:pPr>
        <w:widowControl/>
        <w:spacing w:before="0" w:after="49" w:lineRule="auto" w:line="247"/>
        <w:jc w:val="both"/>
      </w:pPr>
      <w:r>
        <w:rPr>
          <w:rFonts w:ascii="Arial" w:hAnsi="Arial" w:cs="Arial" w:eastAsia="Arial"/>
          <w:b/>
          <w:color w:val="1A2D4F"/>
          <w:sz w:val="20"/>
        </w:rPr>
        <w:t>Ten bills, two directions, zero hearings.</w:t>
      </w:r>
      <w:r>
        <w:rPr>
          <w:rFonts w:ascii="Arial" w:hAnsi="Arial" w:cs="Arial" w:eastAsia="Arial"/>
          <w:b w:val="0"/>
          <w:color w:val="444444"/>
          <w:sz w:val="20"/>
        </w:rPr>
        <w:t xml:space="preserve"> The 1999 Development Impact Fee Act already lets counties and cities charge developers for the capital costs new projects create — under strict conditions: a capital-improvements plan first, and fees cannot pay for maintenance or operations. The expansion bills tried to loosen those limits: H4659 (2023) would have allowed impact fees on residential development only (today it is all-or-nothing), H5088 (2026) would have added road resurfacing as a fundable cost and given governments longer to spend the money, H3460 (2021) and H4008 (2025) would have added a one-time developer fee funding help for longtime residents facing displacement, and H4943 (2022) would have let older fee programs pay down project debt. The narrowing bills pushed the other way for the building industry: H4981 and S856 (2023–24) and the H5017/H3165 package would have excluded repair, maintenance, and administrative costs from what fees can cover and required counties and cities to notify each other about developments and annexations; H4672 (2025) would have exempted buyers who already owned a home in the same school district. All ten died in first committee — Ways and Means, Finance, Judiciary, or the municipal-affairs committee. No proffer bill has ever been filed. The one time the legislature did act on impact fees, it blocked them: a one-year budget rule (FY 2021-22 proviso 117.96) barred impact fees on new school construction, and was not renewed. The nearest live idea is concurrency — see the planning spotlight.</w:t>
      </w:r>
    </w:p>
    <w:p>
      <w:pPr>
        <w:widowControl/>
        <w:spacing w:before="84" w:after="36" w:lineRule="auto" w:line="254"/>
      </w:pPr>
      <w:r>
        <w:rPr>
          <w:rFonts w:ascii="Arial" w:hAnsi="Arial" w:cs="Arial" w:eastAsia="Arial"/>
          <w:b/>
          <w:color w:val="C0392B"/>
          <w:sz w:val="25"/>
          <w:spacing w:val="20"/>
        </w:rPr>
        <w:t>PUBLIC TRANSIT, RAIL, AND MULTIMODAL OPTIONS [P-MULTIMODAL-TRANSPORT]</w:t>
      </w:r>
    </w:p>
    <w:p>
      <w:pPr>
        <w:widowControl/>
        <w:spacing w:before="0" w:after="49" w:lineRule="auto" w:line="247"/>
        <w:jc w:val="both"/>
      </w:pPr>
      <w:r>
        <w:rPr>
          <w:rFonts w:ascii="Arial" w:hAnsi="Arial" w:cs="Arial" w:eastAsia="Arial"/>
          <w:b/>
          <w:color w:val="1A2D4F"/>
          <w:sz w:val="20"/>
        </w:rPr>
        <w:t>Zero hearings on every transit bill; the one rail idea with floor support moves freight.</w:t>
      </w:r>
      <w:r>
        <w:rPr>
          <w:rFonts w:ascii="Arial" w:hAnsi="Arial" w:cs="Arial" w:eastAsia="Arial"/>
          <w:b w:val="0"/>
          <w:color w:val="444444"/>
          <w:sz w:val="20"/>
        </w:rPr>
        <w:t xml:space="preserve"> The filed designs cover the whole multimodal menu: a "complete streets" mandate so SCDOT designs roads for pedestrians, cyclists, and transit riders (H3656, 2019); making SCDOT's required feasibility review before road projects use measurable standards including dedicated bus lanes (H3051, 2021); transit-oriented development agencies for counties and cities (H3655 in 2019, H4013 in 2023); incentives for developers to build bus stops and walkable paths in projects near transit lines (H3828, 2019); commuter- and high-speed-rail commissions and studies (S216 and H3189 in 2019, H3937 in 2021, H4122 in 2025); a study committee on connecting to Charlotte's transit system (S730, 2019); and a study of adding commuter rail alongside existing highways (H5347, 2024). Every one died in its first committee — mostly House Education and Public Works or Senate Transportation — with no hearing, across four sessions. Most were led by Rep. Pendarvis. The exception is freight: the Shortline Railroad Modernization Act, a tax credit covering half of small railroads' track-rebuilding costs, passed the House 106–3 in 2022 and 65–46 in 2023 and died in Senate Finance both times. What was enacted sits at the edges: a trespass law for transit facilities (S399, Act 222 of 2026, 44–0 and 107–0) and the EV-charging framework with a legislative committee on transportation electrification (S304, Act 46 of 2021). The bills clarifying that the local penny tax can fund transit are counted under local funding tools — the two proposals meet there.</w:t>
      </w:r>
    </w:p>
    <w:p>
      <w:pPr>
        <w:widowControl/>
        <w:spacing w:before="84" w:after="36" w:lineRule="auto" w:line="254"/>
      </w:pPr>
      <w:r>
        <w:rPr>
          <w:rFonts w:ascii="Arial" w:hAnsi="Arial" w:cs="Arial" w:eastAsia="Arial"/>
          <w:b/>
          <w:color w:val="C0392B"/>
          <w:sz w:val="25"/>
          <w:spacing w:val="20"/>
        </w:rPr>
        <w:t>STATE OR REGIONAL PLANNING FOR GROWTH [P-STATE-MASTER-PLANNING]</w:t>
      </w:r>
    </w:p>
    <w:p>
      <w:pPr>
        <w:widowControl/>
        <w:spacing w:before="0" w:after="49" w:lineRule="auto" w:line="247"/>
        <w:jc w:val="both"/>
      </w:pPr>
      <w:r>
        <w:rPr>
          <w:rFonts w:ascii="Arial" w:hAnsi="Arial" w:cs="Arial" w:eastAsia="Arial"/>
          <w:b/>
          <w:color w:val="1A2D4F"/>
          <w:sz w:val="20"/>
        </w:rPr>
        <w:t>The lever citizens described has never been filed.</w:t>
      </w:r>
      <w:r>
        <w:rPr>
          <w:rFonts w:ascii="Arial" w:hAnsi="Arial" w:cs="Arial" w:eastAsia="Arial"/>
          <w:b w:val="0"/>
          <w:color w:val="444444"/>
          <w:sz w:val="20"/>
        </w:rPr>
        <w:t xml:space="preserve"> No bill between 2019 and 2026 proposes state-level or regional master planning in place of county-by-county plans. What the record holds instead is three other fights over who controls growth. First, state rules added to local plans: the Disaster Relief and Resilience Act (S259, Act 163 of 2020, Senate 44–1, House 65–35) created the state Office of Resilience with a statewide resilience plan and required every local comprehensive plan to add a resiliency element — the one enacted statewide planning layer, and proof the add-a-required-element path can pass. Second, concurrency — the growth-management idea that development approval waits until roads and pipes can handle it: H5562 (2024) died in committee, but S227 (filed 2025 by Sen. Davis) was reported favorably and amended on the Senate floor in the session's final weeks before dying without completing passage — the furthest any growth-management bill traveled in this record (its House twin H4050 never moved). A related bill (H4390, 2025) would have required community impact assessments — infrastructure, affordability, displacement — before major zoning decisions; it died in committee. Third, the annexation fights: county power to block municipal annexation until an infrastructure impact study is approved (H5742, 2026), county legal standing to challenge annexations (H4651, 2023), and the thrice-filed "donut hole" annexation bill (H5196, H3236, H4726) all died in committee. Pulling the opposite direction, the developer-side bills — the Home Attainability Act permitting packages (S528 and H3863 in 2021, S4 in 2023 and 2025), 45-day permit shot clocks (H4652, H3215), housing-cost impact analyses (H4482, S757), and transferable development rights (H4996, H4146, S288) — also died, though S288 reached the Senate calendar. One state-over-local land-use law did pass: the Small Wireless Facilities Deployment Act (H4262, Act 179 of 2020, 108–2, 32–6, 104–1), which set statewide rules for 5G equipment in rights of way and limited local zoning control over it.</w:t>
      </w:r>
    </w:p>
    <w:p>
      <w:pPr>
        <w:widowControl/>
        <w:spacing w:before="84" w:after="36" w:lineRule="auto" w:line="254"/>
      </w:pPr>
      <w:r>
        <w:rPr>
          <w:rFonts w:ascii="Arial" w:hAnsi="Arial" w:cs="Arial" w:eastAsia="Arial"/>
          <w:b/>
          <w:color w:val="C0392B"/>
          <w:sz w:val="25"/>
          <w:spacing w:val="20"/>
        </w:rPr>
        <w:t>MAINTAIN EXISTING ROADS FIRST [P-FIX-ROADS-FIRST]</w:t>
      </w:r>
    </w:p>
    <w:p>
      <w:pPr>
        <w:widowControl/>
        <w:spacing w:before="0" w:after="49" w:lineRule="auto" w:line="247"/>
        <w:jc w:val="both"/>
      </w:pPr>
      <w:r>
        <w:rPr>
          <w:rFonts w:ascii="Arial" w:hAnsi="Arial" w:cs="Arial" w:eastAsia="Arial"/>
          <w:b/>
          <w:color w:val="1A2D4F"/>
          <w:sz w:val="20"/>
        </w:rPr>
        <w:t>The bills never moved; the money did — through the budget.</w:t>
      </w:r>
      <w:r>
        <w:rPr>
          <w:rFonts w:ascii="Arial" w:hAnsi="Arial" w:cs="Arial" w:eastAsia="Arial"/>
          <w:b w:val="0"/>
          <w:color w:val="444444"/>
          <w:sz w:val="20"/>
        </w:rPr>
        <w:t xml:space="preserve"> Every maintenance-accountability bill died in its first committee: the "Fix Our Roads Accountability Act" creating a statewide pavement preservation program with annual reports (H5363, 2026), the rule that SCDOT must properly maintain roads it takes into the state system (H4610, 2023), pothole-damage hotlines so drivers can report road hazards and file damage claims (H3871 in 2021, H3451 in 2023), sheriff road-hazard reports with a public database (H4687, 2025), and county authority to maintain orphan private roads (H3516, 2023). Where fix-it-first is real is the annual budget. A proviso renewed every enacted year (86.1) requires that the 2017 gas-tax act's extra money for County Transportation Committees — the county boards that spend gas-tax "C" funds on local roads — go exclusively to repairs, maintenance, and improvements. The one-time money lists put $200,000,000 into a CTC Acceleration Fund, $100,000,000 into a Bridge Acceleration Fund, and $117,401,000 into a Rural Road Safety Program in FY 2024-25; $200,000,000 into Bridge Modernization in FY 2025-26; and $175,000,000 (CTC) plus $50,000,000 (bridges) in FY 2026-27. FY 2026-27 also created the Road Buyback Program (proviso 84.18): SCDOT lists state roads that no longer serve a statewide purpose and pays counties and cities to take them back — resurfaced and repaired first. These are one-year rules and one-time sums, not permanent law: each exists only until the next budget chooses again.</w:t>
      </w:r>
    </w:p>
    <w:p>
      <w:pPr>
        <w:widowControl/>
        <w:spacing w:before="84" w:after="36" w:lineRule="auto" w:line="254"/>
      </w:pPr>
      <w:r>
        <w:rPr>
          <w:rFonts w:ascii="Arial" w:hAnsi="Arial" w:cs="Arial" w:eastAsia="Arial"/>
          <w:b/>
          <w:color w:val="C0392B"/>
          <w:sz w:val="25"/>
          <w:spacing w:val="20"/>
        </w:rPr>
        <w:t>FUND INFRASTRUCTURE WITHOUT NEW TAXES OR FEES [P-NO-NEW-TAXES]</w:t>
      </w:r>
    </w:p>
    <w:p>
      <w:pPr>
        <w:widowControl/>
        <w:spacing w:before="0" w:after="49" w:lineRule="auto" w:line="247"/>
        <w:jc w:val="both"/>
      </w:pPr>
      <w:r>
        <w:rPr>
          <w:rFonts w:ascii="Arial" w:hAnsi="Arial" w:cs="Arial" w:eastAsia="Arial"/>
          <w:b/>
          <w:color w:val="1A2D4F"/>
          <w:sz w:val="20"/>
        </w:rPr>
        <w:t>Ten bills against the gas fee; none was heard — and neither was the one bill to raise it.</w:t>
      </w:r>
      <w:r>
        <w:rPr>
          <w:rFonts w:ascii="Arial" w:hAnsi="Arial" w:cs="Arial" w:eastAsia="Arial"/>
          <w:b w:val="0"/>
          <w:color w:val="444444"/>
          <w:sz w:val="20"/>
        </w:rPr>
        <w:t xml:space="preserve"> The 2017 roads act (Act 40) phased the gas user fee up by twelve cents over six years, and this record holds every attempt to stop it: freeze the phase-in at eight cents (H4091, 2021), repeal the fee and the road tax outright (H4092, 2021), suspend it for a year during the 2022 price spike (H5103) or whenever pump prices top $3.25 (H5112), and the 2026 wave — a Senate 30-day suspension (S1045) and five near-identical House suspension resolutions (H5398, H5419, H5422, H5443, H5475). All ten died in House Ways and Means or Senate Finance without a vote. So did the bills to repeal the special road-use fee on electric and hybrid vehicles (H4945 in 2022, H3177 in 2023) — and so did the one bill pointing the opposite way: H5331 (2026), which would have more than doubled the share of the gas fee that goes to counties for local roads. What did pass tightened collection rather than cutting it: Act 70 of 2021 (H3505, 106–4 and 42–2) closed a gap so the road-funding fee paid when a vehicle is registered also applies when it is first titled. Citizens split sharply on this proposal, and the record mirrors the split — but note where the two sides structurally meet: every local funding tool in this record requires a county referendum, so "voters decide, county by county" is how the existing law already resolves it.</w:t>
      </w:r>
    </w:p>
    <w:p>
      <w:pPr>
        <w:widowControl/>
        <w:spacing w:before="84" w:after="36" w:lineRule="auto" w:line="254"/>
      </w:pPr>
      <w:r>
        <w:rPr>
          <w:rFonts w:ascii="Arial" w:hAnsi="Arial" w:cs="Arial" w:eastAsia="Arial"/>
          <w:b/>
          <w:color w:val="C0392B"/>
          <w:sz w:val="25"/>
          <w:spacing w:val="20"/>
        </w:rPr>
        <w:t>BETTER BIDDING AND CONTRACTOR ACCOUNTABILITY [P-CONTRACTOR-ACCOUNTABILITY]</w:t>
      </w:r>
    </w:p>
    <w:p>
      <w:pPr>
        <w:widowControl/>
        <w:spacing w:before="0" w:after="49" w:lineRule="auto" w:line="247"/>
        <w:jc w:val="both"/>
      </w:pPr>
      <w:r>
        <w:rPr>
          <w:rFonts w:ascii="Arial" w:hAnsi="Arial" w:cs="Arial" w:eastAsia="Arial"/>
          <w:b/>
          <w:color w:val="1A2D4F"/>
          <w:sz w:val="20"/>
        </w:rPr>
        <w:t>The bidding bills stalled; the transparency tools live in the budget.</w:t>
      </w:r>
      <w:r>
        <w:rPr>
          <w:rFonts w:ascii="Arial" w:hAnsi="Arial" w:cs="Arial" w:eastAsia="Arial"/>
          <w:b w:val="0"/>
          <w:color w:val="444444"/>
          <w:sz w:val="20"/>
        </w:rPr>
        <w:t xml:space="preserve"> Two bills would have let SCDOT use design-build contracting — choosing a contractor on qualifications first, then negotiating price (H5312 in 2024, H3560 in 2025); both died in committee. In 2020, two joint resolutions to approve SCDOT's own contractor-accountability regulations — a performance-evaluation scoring system (S1069) and rules for disqualifying and suspending contractors from SCDOT work (S1070) — were placed on the Senate calendar and never taken up when COVID ended the session. Bills steering a share of highway contracts to firms owned by women and minorities (S385, H4401, H4823, 2019–20), requiring the secretary to certify SCDOT's expenditure reports (H4090, 2021), and creating a public-private partnership framework (H3559, 2021) all died in committee. What passed sits at the edges: the rule that whoever builds a road project pays to relocate water and sewer lines (S401, Act 36 of 2019, 38–0 and 108–0; extended to 2032 by H3768, Act 244 of 2026) and a rewrite of contractor licensing law (H4115, Act 69 of 2023). The accountability tools citizens described exist today as one-year budget provisos: SCDOT must publish its project priority lists with the ranking methodology in a conspicuous public place (proviso 84.8, renewed yearly), and since FY 2024-25 it is directed to upgrade its public Programmed Project Viewer dashboard — every project's status, forecast versus actual cost, projected completion date, and an on-time-and-on-budget list, with quarterly reports (84.18, now 84.15). Those rules lapse in any year the budget drops them.</w:t>
      </w:r>
    </w:p>
    <w:p>
      <w:pPr>
        <w:widowControl/>
        <w:spacing w:before="84" w:after="36" w:lineRule="auto" w:line="254"/>
      </w:pPr>
      <w:r>
        <w:rPr>
          <w:rFonts w:ascii="Arial" w:hAnsi="Arial" w:cs="Arial" w:eastAsia="Arial"/>
          <w:b/>
          <w:color w:val="C0392B"/>
          <w:sz w:val="25"/>
          <w:spacing w:val="20"/>
        </w:rPr>
        <w:t>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Penny tax (local option sales tax):</w:t>
      </w:r>
      <w:r>
        <w:rPr>
          <w:rFonts w:ascii="Arial" w:hAnsi="Arial" w:cs="Arial" w:eastAsia="Arial"/>
          <w:b w:val="0"/>
          <w:color w:val="444444"/>
          <w:sz w:val="20"/>
        </w:rPr>
        <w:t xml:space="preserve"> An extra cent of sales tax a county can charge if voters approve it in a referendum. Different pennies exist for transportation, capital projects, school buildings, and (since 2022) green space; the ballot must say what the money is for.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Transportation penny:</w:t>
      </w:r>
      <w:r>
        <w:rPr>
          <w:rFonts w:ascii="Arial" w:hAnsi="Arial" w:cs="Arial" w:eastAsia="Arial"/>
          <w:b w:val="0"/>
          <w:color w:val="444444"/>
          <w:sz w:val="20"/>
        </w:rPr>
        <w:t xml:space="preserve"> The local-option sales tax (Title 4, Chapter 37) for roads, bridges, and transit projects; it can include tolls. The bills clarifying it can fund mass transit never got hearings.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Capital project sales tax:</w:t>
      </w:r>
      <w:r>
        <w:rPr>
          <w:rFonts w:ascii="Arial" w:hAnsi="Arial" w:cs="Arial" w:eastAsia="Arial"/>
          <w:b w:val="0"/>
          <w:color w:val="444444"/>
          <w:sz w:val="20"/>
        </w:rPr>
        <w:t xml:space="preserve"> The local-option penny for one-time construction projects; runs up to eight years (seven if renewed) and lists projects on the ballot.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Impact fee:</w:t>
      </w:r>
      <w:r>
        <w:rPr>
          <w:rFonts w:ascii="Arial" w:hAnsi="Arial" w:cs="Arial" w:eastAsia="Arial"/>
          <w:b w:val="0"/>
          <w:color w:val="444444"/>
          <w:sz w:val="20"/>
        </w:rPr>
        <w:t xml:space="preserve"> A one-time charge on new development to cover the capital costs (roads, water, parks) the development creates. Legal in South Carolina since 1999, with limits: a plan first, and no funding of maintenance or operations.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Proffer:</w:t>
      </w:r>
      <w:r>
        <w:rPr>
          <w:rFonts w:ascii="Arial" w:hAnsi="Arial" w:cs="Arial" w:eastAsia="Arial"/>
          <w:b w:val="0"/>
          <w:color w:val="444444"/>
          <w:sz w:val="20"/>
        </w:rPr>
        <w:t xml:space="preserve"> A developer's negotiated contribution (money, land, or construction) offered during rezoning. South Carolina has no proffer statute, and none has been filed.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Concurrency:</w:t>
      </w:r>
      <w:r>
        <w:rPr>
          <w:rFonts w:ascii="Arial" w:hAnsi="Arial" w:cs="Arial" w:eastAsia="Arial"/>
          <w:b w:val="0"/>
          <w:color w:val="444444"/>
          <w:sz w:val="20"/>
        </w:rPr>
        <w:t xml:space="preserve"> A rule that new development is approved only if infrastructure — roads, water, sewer — can keep pace. Filed in 2024 and 2026; the 2026 bill died on the Senate floor calendar.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Gas user fee:</w:t>
      </w:r>
      <w:r>
        <w:rPr>
          <w:rFonts w:ascii="Arial" w:hAnsi="Arial" w:cs="Arial" w:eastAsia="Arial"/>
          <w:b w:val="0"/>
          <w:color w:val="444444"/>
          <w:sz w:val="20"/>
        </w:rPr>
        <w:t xml:space="preserve"> South Carolina's gas tax, raised two cents a year from 2017 to 2022 by Act 40. Suspension and repeal bills all died in committee.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Infrastructure maintenance fee:</w:t>
      </w:r>
      <w:r>
        <w:rPr>
          <w:rFonts w:ascii="Arial" w:hAnsi="Arial" w:cs="Arial" w:eastAsia="Arial"/>
          <w:b w:val="0"/>
          <w:color w:val="444444"/>
          <w:sz w:val="20"/>
        </w:rPr>
        <w:t xml:space="preserve"> The fee (up to $500) paid when a vehicle is first registered or titled in South Carolina; it funds road repair. Act 70 of 2021 closed a collection gap.</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 funds / County Transportation Committees (CTCs):</w:t>
      </w:r>
      <w:r>
        <w:rPr>
          <w:rFonts w:ascii="Arial" w:hAnsi="Arial" w:cs="Arial" w:eastAsia="Arial"/>
          <w:b w:val="0"/>
          <w:color w:val="444444"/>
          <w:sz w:val="20"/>
        </w:rPr>
        <w:t xml:space="preserve"> Each county's share of the gas tax, spent by a county board on local roads. The budget requires the post-2017 increase to go exclusively to repairs and maintenance.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SCDOT Commission:</w:t>
      </w:r>
      <w:r>
        <w:rPr>
          <w:rFonts w:ascii="Arial" w:hAnsi="Arial" w:cs="Arial" w:eastAsia="Arial"/>
          <w:b w:val="0"/>
          <w:color w:val="444444"/>
          <w:sz w:val="20"/>
        </w:rPr>
        <w:t xml:space="preserve"> The seven-member board that ran the Department of Transportation and appointed its secretary — until Act 177 of 2026 gave the appointment to the Governor and moved the commission's duties to the secretary.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Transportation Infrastructure Bank:</w:t>
      </w:r>
      <w:r>
        <w:rPr>
          <w:rFonts w:ascii="Arial" w:hAnsi="Arial" w:cs="Arial" w:eastAsia="Arial"/>
          <w:b w:val="0"/>
          <w:color w:val="444444"/>
          <w:sz w:val="20"/>
        </w:rPr>
        <w:t xml:space="preserve"> The state board that finances large projects ($25 million and up) with loans and bonds. One bill would have merged its board with SCDOT's commission; another would have abolished it. Neither was heard.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Design-build:</w:t>
      </w:r>
      <w:r>
        <w:rPr>
          <w:rFonts w:ascii="Arial" w:hAnsi="Arial" w:cs="Arial" w:eastAsia="Arial"/>
          <w:b w:val="0"/>
          <w:color w:val="444444"/>
          <w:sz w:val="20"/>
        </w:rPr>
        <w:t xml:space="preserve"> A contracting method where one team designs and builds a project, picked on qualifications before the final price. Two bills to let SCDOT use a phased version died in committee.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Complete streets:</w:t>
      </w:r>
      <w:r>
        <w:rPr>
          <w:rFonts w:ascii="Arial" w:hAnsi="Arial" w:cs="Arial" w:eastAsia="Arial"/>
          <w:b w:val="0"/>
          <w:color w:val="444444"/>
          <w:sz w:val="20"/>
        </w:rPr>
        <w:t xml:space="preserve"> A policy of designing roads for everyone using them — drivers, pedestrians, cyclists, transit riders. Proposed for SCDOT in 2019; never heard.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Transit-oriented development:</w:t>
      </w:r>
      <w:r>
        <w:rPr>
          <w:rFonts w:ascii="Arial" w:hAnsi="Arial" w:cs="Arial" w:eastAsia="Arial"/>
          <w:b w:val="0"/>
          <w:color w:val="444444"/>
          <w:sz w:val="20"/>
        </w:rPr>
        <w:t xml:space="preserve"> Building homes and shops around transit stops; two bills would have let local governments create redevelopment agencies for it.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Comprehensive plan:</w:t>
      </w:r>
      <w:r>
        <w:rPr>
          <w:rFonts w:ascii="Arial" w:hAnsi="Arial" w:cs="Arial" w:eastAsia="Arial"/>
          <w:b w:val="0"/>
          <w:color w:val="444444"/>
          <w:sz w:val="20"/>
        </w:rPr>
        <w:t xml:space="preserve"> The ten-year plan state law requires every planning county and city to adopt, with required elements (population, housing, transportation...). Act 163 of 2020 added a resiliency element.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Home rule:</w:t>
      </w:r>
      <w:r>
        <w:rPr>
          <w:rFonts w:ascii="Arial" w:hAnsi="Arial" w:cs="Arial" w:eastAsia="Arial"/>
          <w:b w:val="0"/>
          <w:color w:val="444444"/>
          <w:sz w:val="20"/>
        </w:rPr>
        <w:t xml:space="preserve"> The principle that counties and cities govern local matters themselves. The planning fights here pull both ways: state rules on local plans versus local control over growth and annexation.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Annexation:</w:t>
      </w:r>
      <w:r>
        <w:rPr>
          <w:rFonts w:ascii="Arial" w:hAnsi="Arial" w:cs="Arial" w:eastAsia="Arial"/>
          <w:b w:val="0"/>
          <w:color w:val="444444"/>
          <w:sz w:val="20"/>
        </w:rPr>
        <w:t xml:space="preserve"> A city expanding its boundaries to take in new territory. Bills to let counties challenge or block annexations — and to let cities absorb "donut holes" — all died in committee.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Road Buyback Program:</w:t>
      </w:r>
      <w:r>
        <w:rPr>
          <w:rFonts w:ascii="Arial" w:hAnsi="Arial" w:cs="Arial" w:eastAsia="Arial"/>
          <w:b w:val="0"/>
          <w:color w:val="444444"/>
          <w:sz w:val="20"/>
        </w:rPr>
        <w:t xml:space="preserve"> The new FY 2026-27 budget program paying counties and cities to take back state roads that no longer serve a statewide purpose, resurfaced first.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Proviso / Part IB:</w:t>
      </w:r>
      <w:r>
        <w:rPr>
          <w:rFonts w:ascii="Arial" w:hAnsi="Arial" w:cs="Arial" w:eastAsia="Arial"/>
          <w:b w:val="0"/>
          <w:color w:val="444444"/>
          <w:sz w:val="20"/>
        </w:rPr>
        <w:t xml:space="preserve"> A one-year policy rule enacted inside the annual state budget bill; Part IB is the budget section that carries them. Votes attach to the whole budget bill, never one proviso.</w:t>
      </w:r>
    </w:p>
    <w:p>
      <w:pPr>
        <w:widowControl/>
        <w:spacing w:before="84" w:after="36" w:lineRule="auto" w:line="254"/>
      </w:pPr>
      <w:r>
        <w:rPr>
          <w:rFonts w:ascii="Arial" w:hAnsi="Arial" w:cs="Arial" w:eastAsia="Arial"/>
          <w:b/>
          <w:color w:val="C0392B"/>
          <w:sz w:val="25"/>
          <w:spacing w:val="20"/>
        </w:rPr>
        <w:t>LEGISLATIVE PROCESS GLOSSARY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H / S bill numbers:</w:t>
      </w:r>
      <w:r>
        <w:rPr>
          <w:rFonts w:ascii="Arial" w:hAnsi="Arial" w:cs="Arial" w:eastAsia="Arial"/>
          <w:b w:val="0"/>
          <w:color w:val="444444"/>
          <w:sz w:val="20"/>
        </w:rPr>
        <w:t xml:space="preserve"> The chamber a bill started in (House or Senate) plus its number. Numbering restarts every two-year General Assembly, so the same number in different sessions is a different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General Assembly / session:</w:t>
      </w:r>
      <w:r>
        <w:rPr>
          <w:rFonts w:ascii="Arial" w:hAnsi="Arial" w:cs="Arial" w:eastAsia="Arial"/>
          <w:b w:val="0"/>
          <w:color w:val="444444"/>
          <w:sz w:val="20"/>
        </w:rPr>
        <w:t xml:space="preserve"> The legislature elected for two years — the 123rd (2019–2020) through the 126th (2025–2026) appear in this brief. It meets each January; a bill filed in the first year stays alive into the second, and everything unpassed dies when the second year ends.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First committee:</w:t>
      </w:r>
      <w:r>
        <w:rPr>
          <w:rFonts w:ascii="Arial" w:hAnsi="Arial" w:cs="Arial" w:eastAsia="Arial"/>
          <w:b w:val="0"/>
          <w:color w:val="444444"/>
          <w:sz w:val="20"/>
        </w:rPr>
        <w:t xml:space="preserve"> The committee a bill is sent to after introduction. Most bills that fail die there, with no further action recorded. In this set the most common rooms are House Ways and Means and Senate Finance — the money committees — plus House Education and Public Works, which handles transportation.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Committee report:</w:t>
      </w:r>
      <w:r>
        <w:rPr>
          <w:rFonts w:ascii="Arial" w:hAnsi="Arial" w:cs="Arial" w:eastAsia="Arial"/>
          <w:b w:val="0"/>
          <w:color w:val="444444"/>
          <w:sz w:val="20"/>
        </w:rPr>
        <w:t xml:space="preserve"> The committee's published outcome — "Favorable" or "Favorable with amendment." South Carolina publishes these outcomes but never committee vote tallies, so no committee vote counts exist.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Readings:</w:t>
      </w:r>
      <w:r>
        <w:rPr>
          <w:rFonts w:ascii="Arial" w:hAnsi="Arial" w:cs="Arial" w:eastAsia="Arial"/>
          <w:b w:val="0"/>
          <w:color w:val="444444"/>
          <w:sz w:val="20"/>
        </w:rPr>
        <w:t xml:space="preserve"> A bill passes a chamber through three readings; the recorded roll calls in this brief attach to second or third reading, or to "Passage of Bill."</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Roll call / vote pairs (e.g. 37–1 and 114–0):</w:t>
      </w:r>
      <w:r>
        <w:rPr>
          <w:rFonts w:ascii="Arial" w:hAnsi="Arial" w:cs="Arial" w:eastAsia="Arial"/>
          <w:b w:val="0"/>
          <w:color w:val="444444"/>
          <w:sz w:val="20"/>
        </w:rPr>
        <w:t xml:space="preserve"> Yes-no floor tallies, one per chamber. The House has 124 members and the Senate 46; totals below those figures reflect absences.</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Second chamber:</w:t>
      </w:r>
      <w:r>
        <w:rPr>
          <w:rFonts w:ascii="Arial" w:hAnsi="Arial" w:cs="Arial" w:eastAsia="Arial"/>
          <w:b w:val="0"/>
          <w:color w:val="444444"/>
          <w:sz w:val="20"/>
        </w:rPr>
        <w:t xml:space="preserve"> After passing its own chamber, a bill repeats the whole process — committee, then floor — in the other one. The three House-passed bills in this set that died all stopped in Senate Finance.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Conference committee:</w:t>
      </w:r>
      <w:r>
        <w:rPr>
          <w:rFonts w:ascii="Arial" w:hAnsi="Arial" w:cs="Arial" w:eastAsia="Arial"/>
          <w:b w:val="0"/>
          <w:color w:val="444444"/>
          <w:sz w:val="20"/>
        </w:rPr>
        <w:t xml:space="preserve"> Three members from each chamber who negotiate one final version when the chambers pass different ones; the SCDOT Modernization Act finished through a conference report adopted 112–2 and 43–0.</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Joint resolution:</w:t>
      </w:r>
      <w:r>
        <w:rPr>
          <w:rFonts w:ascii="Arial" w:hAnsi="Arial" w:cs="Arial" w:eastAsia="Arial"/>
          <w:b w:val="0"/>
          <w:color w:val="444444"/>
          <w:sz w:val="20"/>
        </w:rPr>
        <w:t xml:space="preserve"> A measure with the force of law used for single actions — the gas-tax suspensions and the SCDOT regulation approvals traveled this way.</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Placed on the calendar without reference:</w:t>
      </w:r>
      <w:r>
        <w:rPr>
          <w:rFonts w:ascii="Arial" w:hAnsi="Arial" w:cs="Arial" w:eastAsia="Arial"/>
          <w:b w:val="0"/>
          <w:color w:val="444444"/>
          <w:sz w:val="20"/>
        </w:rPr>
        <w:t xml:space="preserve"> A measure sent straight to the floor list, skipping committee; the 2020 SCDOT contractor regulations sat there when COVID ended the session.</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Recommitted:</w:t>
      </w:r>
      <w:r>
        <w:rPr>
          <w:rFonts w:ascii="Arial" w:hAnsi="Arial" w:cs="Arial" w:eastAsia="Arial"/>
          <w:b w:val="0"/>
          <w:color w:val="444444"/>
          <w:sz w:val="20"/>
        </w:rPr>
        <w:t xml:space="preserve"> Sent back to committee from the floor — how the House's own SCDOT bill (H5071) ended after debate stalled, and how the 2019 project-prioritization resolution ended in the Senate.</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Recalled from committee:</w:t>
      </w:r>
      <w:r>
        <w:rPr>
          <w:rFonts w:ascii="Arial" w:hAnsi="Arial" w:cs="Arial" w:eastAsia="Arial"/>
          <w:b w:val="0"/>
          <w:color w:val="444444"/>
          <w:sz w:val="20"/>
        </w:rPr>
        <w:t xml:space="preserve"> A floor vote pulling a bill out of committee without waiting for a report.</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Ratified / R number:</w:t>
      </w:r>
      <w:r>
        <w:rPr>
          <w:rFonts w:ascii="Arial" w:hAnsi="Arial" w:cs="Arial" w:eastAsia="Arial"/>
          <w:b w:val="0"/>
          <w:color w:val="444444"/>
          <w:sz w:val="20"/>
        </w:rPr>
        <w:t xml:space="preserve"> After both chambers pass identical text, the bill is ratified and numbered before going to the governor.</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Act number:</w:t>
      </w:r>
      <w:r>
        <w:rPr>
          <w:rFonts w:ascii="Arial" w:hAnsi="Arial" w:cs="Arial" w:eastAsia="Arial"/>
          <w:b w:val="0"/>
          <w:color w:val="444444"/>
          <w:sz w:val="20"/>
        </w:rPr>
        <w:t xml:space="preserve"> A signed bill becomes a numbered act of its year — "Act 177 of 2026."</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Veto / override:</w:t>
      </w:r>
      <w:r>
        <w:rPr>
          <w:rFonts w:ascii="Arial" w:hAnsi="Arial" w:cs="Arial" w:eastAsia="Arial"/>
          <w:b w:val="0"/>
          <w:color w:val="444444"/>
          <w:sz w:val="20"/>
        </w:rPr>
        <w:t xml:space="preserve"> The governor can reject a passed bill; the General Assembly can override with a two-thirds vote in each chamber. No bill in this set was vetoed.</w:t>
      </w:r>
    </w:p>
    <w:p>
      <w:pPr>
        <w:widowControl/>
        <w:spacing w:before="0" w:after="60" w:lineRule="auto" w:line="252"/>
        <w:ind w:left="200"/>
      </w:pPr>
      <w:r>
        <w:rPr>
          <w:rFonts w:ascii="Arial" w:hAnsi="Arial" w:cs="Arial" w:eastAsia="Arial"/>
          <w:b w:val="0"/>
          <w:color w:val="C0392B"/>
          <w:sz w:val="20"/>
        </w:rPr>
        <w:t xml:space="preserve">▪  </w:t>
      </w:r>
      <w:r>
        <w:rPr>
          <w:rFonts w:ascii="Arial" w:hAnsi="Arial" w:cs="Arial" w:eastAsia="Arial"/>
          <w:b/>
          <w:color w:val="1A2D4F"/>
          <w:sz w:val="20"/>
        </w:rPr>
        <w:t>"Died at the session's end":</w:t>
      </w:r>
      <w:r>
        <w:rPr>
          <w:rFonts w:ascii="Arial" w:hAnsi="Arial" w:cs="Arial" w:eastAsia="Arial"/>
          <w:b w:val="0"/>
          <w:color w:val="444444"/>
          <w:sz w:val="20"/>
        </w:rPr>
        <w:t xml:space="preserve"> The measure cleared every vote it faced but ran out of calendar — a timing stop, not a recorded "no."</w:t>
      </w:r>
    </w:p>
    <w:p>
      <w:pPr>
        <w:widowControl/>
        <w:spacing w:before="40" w:after="0" w:lineRule="auto" w:line="254"/>
        <w:pBdr>
          <w:top w:val="single" w:sz="6" w:space="4" w:color="C8CDD6"/>
        </w:pBdr>
      </w:pPr>
      <w:r>
        <w:rPr>
          <w:rFonts w:ascii="Arial" w:hAnsi="Arial" w:cs="Arial" w:eastAsia="Arial"/>
          <w:b w:val="0"/>
          <w:color w:val="666666"/>
          <w:sz w:val="20"/>
          <w:spacing w:val="4"/>
        </w:rPr>
        <w:t>Full bill-by-bill detail, votes, sponsors, budget provisos, and sources: Appendices A–I.</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