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Rising Cost of Living in South Carolina</w:t>
      </w:r>
    </w:p>
    <w:p>
      <w:pPr>
        <w:widowControl/>
        <w:spacing w:before="0" w:after="120" w:lineRule="auto" w:line="254"/>
      </w:pPr>
      <w:r>
        <w:rPr>
          <w:rFonts w:ascii="Arial" w:hAnsi="Arial" w:cs="Arial" w:eastAsia="Arial"/>
          <w:b w:val="0"/>
          <w:color w:val="444444"/>
          <w:sz w:val="20"/>
        </w:rPr>
        <w:t>The legislative record behind the final proposal grid's cost-of-living proposals, 2019–2026.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Housing, utility bills, and taxes are the squeeze South Carolinians named in the Community Conversations, and the General Assembly has been busy on all three. Across the last four two-year sessions (2019–2026), lawmakers took up 257 cost-of-living bills in this set, and 31 became law. The record splits in two. What passes is either a narrow, near-unanimous fix — a property tax break for disabled veterans, background checks for childcare staff — or a big negotiated package, like the Santee Cooper reform of 2021 and the income tax cuts of 2022 and 2026. What almost never passes is a structural change filed on its own: opening the electricity market, raising the homestead exemption, direct help with utility or childcare bills. Four of every five bills here died in their first committee, where South Carolina records no vote counts at all.</w:t>
      </w:r>
    </w:p>
    <w:p>
      <w:pPr>
        <w:widowControl/>
        <w:spacing w:before="84" w:after="36" w:lineRule="auto" w:line="254"/>
      </w:pPr>
      <w:r>
        <w:rPr>
          <w:rFonts w:ascii="Arial" w:hAnsi="Arial" w:cs="Arial" w:eastAsia="Arial"/>
          <w:b/>
          <w:color w:val="C0392B"/>
          <w:sz w:val="25"/>
          <w:spacing w:val="20"/>
        </w:rPr>
        <w:t>KEY NUMBERS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438–1, four times</w:t>
      </w:r>
      <w:r>
        <w:rPr>
          <w:rFonts w:ascii="Arial" w:hAnsi="Arial" w:cs="Arial" w:eastAsia="Arial"/>
          <w:b w:val="0"/>
          <w:color w:val="444444"/>
          <w:sz w:val="20"/>
        </w:rPr>
        <w:t xml:space="preserve"> — the House passed utility-accountability bills in 2019, 2022, and 2023 by this combined margin; every one died in Senate Judiciary (H4260, H4776, H4149, H3614)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Class of 2027</w:t>
      </w:r>
      <w:r>
        <w:rPr>
          <w:rFonts w:ascii="Arial" w:hAnsi="Arial" w:cs="Arial" w:eastAsia="Arial"/>
          <w:b w:val="0"/>
          <w:color w:val="444444"/>
          <w:sz w:val="20"/>
        </w:rPr>
        <w:t xml:space="preserve"> — the first class that must earn the personal finance credit the 2022 budget ordered into the graduation rules</w:t>
      </w:r>
    </w:p>
    <w:tbl>
      <w:tblPr>
        <w:tblW w:type="auto" w:w="0"/>
        <w:jc w:val="center"/>
        <w:tblLayout w:type="autofit"/>
        <w:tblLook w:firstColumn="1" w:firstRow="1" w:lastColumn="0" w:lastRow="0" w:noHBand="0" w:noVBand="1" w:val="04A0"/>
      </w:tblPr>
      <w:tblGrid>
        <w:gridCol w:w="3504"/>
        <w:gridCol w:w="3504"/>
        <w:gridCol w:w="3504"/>
      </w:tblGrid>
      <w:tr>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257</w:t>
            </w:r>
          </w:p>
          <w:p>
            <w:pPr>
              <w:spacing w:after="0" w:line="240" w:lineRule="auto"/>
            </w:pPr>
            <w:r>
              <w:rPr>
                <w:rFonts w:ascii="Arial" w:hAnsi="Arial" w:cs="Arial" w:eastAsia="Arial"/>
                <w:b w:val="0"/>
                <w:color w:val="666666"/>
                <w:sz w:val="20"/>
              </w:rPr>
              <w:t>cost-of-living bills, 2019–2026</w:t>
            </w:r>
          </w:p>
        </w:tc>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31</w:t>
            </w:r>
          </w:p>
          <w:p>
            <w:pPr>
              <w:spacing w:after="0" w:line="240" w:lineRule="auto"/>
            </w:pPr>
            <w:r>
              <w:rPr>
                <w:rFonts w:ascii="Arial" w:hAnsi="Arial" w:cs="Arial" w:eastAsia="Arial"/>
                <w:b w:val="0"/>
                <w:color w:val="666666"/>
                <w:sz w:val="20"/>
              </w:rPr>
              <w:t>became law — narrow fixes and big negotiated packages</w:t>
            </w:r>
          </w:p>
        </w:tc>
        <w:tc>
          <w:tcPr>
            <w:tcW w:type="dxa" w:w="3504"/>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35</w:t>
            </w:r>
          </w:p>
          <w:p>
            <w:pPr>
              <w:spacing w:after="0" w:line="240" w:lineRule="auto"/>
            </w:pPr>
            <w:r>
              <w:rPr>
                <w:rFonts w:ascii="Arial" w:hAnsi="Arial" w:cs="Arial" w:eastAsia="Arial"/>
                <w:b w:val="0"/>
                <w:color w:val="666666"/>
                <w:sz w:val="20"/>
              </w:rPr>
              <w:t>bills to raise the senior homestead exemption — one passed a chamber (S768, 44–0), none became law</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STATE BUDGET (PROVISOS)</w:t>
      </w:r>
    </w:p>
    <w:p>
      <w:pPr>
        <w:widowControl/>
        <w:spacing w:before="0" w:after="49" w:lineRule="auto" w:line="247"/>
        <w:jc w:val="both"/>
      </w:pPr>
      <w:r>
        <w:rPr>
          <w:rFonts w:ascii="Arial" w:hAnsi="Arial" w:cs="Arial" w:eastAsia="Arial"/>
          <w:b w:val="0"/>
          <w:color w:val="444444"/>
          <w:sz w:val="20"/>
        </w:rPr>
        <w:t>Some of the biggest cost-of-living moves never appear in a stand-alone law. They live in provisos — one-year policy rules enacted inside the annual budget bill. This year's budget (FY 2026-27) gives qualifying seniors and disabled homeowners an extra $25,000 homestead exemption on top of the standing $50,000, with the state repaying local governments (proviso 117.220), and puts the income tax cut into effect faster than the tax law's own triggers (proviso 117.191). The financial-education idea became real this way too: FY 2022-23 proviso 1.101 ordered the half-credit personal finance graduation requirement into regulation after the bill version died. Childcare help runs the same way — the voucher program and Full-Day 4K are governed by provisos every year. Votes on provisos are votes on the whole budget bill, never on one proviso alone.</w:t>
      </w:r>
    </w:p>
    <w:p>
      <w:pPr>
        <w:widowControl/>
        <w:spacing w:before="84" w:after="36" w:lineRule="auto" w:line="254"/>
      </w:pPr>
      <w:r>
        <w:rPr>
          <w:rFonts w:ascii="Arial" w:hAnsi="Arial" w:cs="Arial" w:eastAsia="Arial"/>
          <w:b/>
          <w:color w:val="C0392B"/>
          <w:sz w:val="25"/>
          <w:spacing w:val="20"/>
        </w:rPr>
        <w:t>UTILITY RATES AND UTILITY POWER [P-UTILITY-TRANSPARENCY]</w:t>
      </w:r>
    </w:p>
    <w:p>
      <w:pPr>
        <w:widowControl/>
        <w:spacing w:before="0" w:after="49" w:lineRule="auto" w:line="247"/>
        <w:jc w:val="both"/>
      </w:pPr>
      <w:r>
        <w:rPr>
          <w:rFonts w:ascii="Arial" w:hAnsi="Arial" w:cs="Arial" w:eastAsia="Arial"/>
          <w:b/>
          <w:color w:val="1A2D4F"/>
          <w:sz w:val="20"/>
        </w:rPr>
        <w:t>What the conversations reported:</w:t>
      </w:r>
      <w:r>
        <w:rPr>
          <w:rFonts w:ascii="Arial" w:hAnsi="Arial" w:cs="Arial" w:eastAsia="Arial"/>
          <w:b w:val="0"/>
          <w:color w:val="444444"/>
          <w:sz w:val="20"/>
        </w:rPr>
        <w:t xml:space="preserve"> raised at two of four in-person events, with high agreement when discussed. The through-line: consumers feel the utility company has all the power. </w:t>
      </w:r>
      <w:r>
        <w:rPr>
          <w:rFonts w:ascii="Arial" w:hAnsi="Arial" w:cs="Arial" w:eastAsia="Arial"/>
          <w:b/>
          <w:color w:val="1A2D4F"/>
          <w:sz w:val="20"/>
        </w:rPr>
        <w:t>What the record shows:</w:t>
      </w:r>
      <w:r>
        <w:rPr>
          <w:rFonts w:ascii="Arial" w:hAnsi="Arial" w:cs="Arial" w:eastAsia="Arial"/>
          <w:b w:val="0"/>
          <w:color w:val="444444"/>
          <w:sz w:val="20"/>
        </w:rPr>
        <w:t xml:space="preserve"> the House has agreed four times. The 2019 Ratepayer Protection Act (H4260) banned utilities from giving campaign contributions, meals, or anything of value to the legislators' panel that screens utility regulators. It also protected utility whistleblowers and tightened regulator conflict-of-interest rules. It passed the House 105–1 and died in Senate Judiciary without a vote. So did the revolving-door ban (H4776, 101–0) and the whistleblower refiles (H4149, 118–0; H3614, 114–0). What did become law is oversight machinery. Act 90 of 2021 (H3194) put Santee Cooper's rates under Public Service Commission review for the first time. Acts 74 and 75 of 2025 restarted the stalled PSC elections. The 2025 Energy Security Act (Act 41, 94–11 and 38–3) lets customers speak as public witnesses in rate cases. On the financial-ties half: legislators already file annual Statements of Economic Interests, but those are not utility-specific. No bill adds a utility-specific disclosure duty — every filed approach regulated the utilities' side instead.</w:t>
      </w:r>
    </w:p>
    <w:p>
      <w:pPr>
        <w:widowControl/>
        <w:spacing w:before="84" w:after="36" w:lineRule="auto" w:line="254"/>
      </w:pPr>
      <w:r>
        <w:rPr>
          <w:rFonts w:ascii="Arial" w:hAnsi="Arial" w:cs="Arial" w:eastAsia="Arial"/>
          <w:b/>
          <w:color w:val="C0392B"/>
          <w:sz w:val="25"/>
          <w:spacing w:val="20"/>
        </w:rPr>
        <w:t>OPENING THE UTILITY MARKET [P-UTILITY-COMPETITION]</w:t>
      </w:r>
    </w:p>
    <w:p>
      <w:pPr>
        <w:widowControl/>
        <w:spacing w:before="0" w:after="49" w:lineRule="auto" w:line="247"/>
        <w:jc w:val="both"/>
      </w:pPr>
      <w:r>
        <w:rPr>
          <w:rFonts w:ascii="Arial" w:hAnsi="Arial" w:cs="Arial" w:eastAsia="Arial"/>
          <w:b/>
          <w:color w:val="1A2D4F"/>
          <w:sz w:val="20"/>
        </w:rPr>
        <w:t>What the conversations reported:</w:t>
      </w:r>
      <w:r>
        <w:rPr>
          <w:rFonts w:ascii="Arial" w:hAnsi="Arial" w:cs="Arial" w:eastAsia="Arial"/>
          <w:b w:val="0"/>
          <w:color w:val="444444"/>
          <w:sz w:val="20"/>
        </w:rPr>
        <w:t xml:space="preserve"> raised at two of four events, with mixed agreement. Some supported the idea that a free market could lower prices. Others worried it was impractical, given the infrastructure it takes to run a utility. </w:t>
      </w:r>
      <w:r>
        <w:rPr>
          <w:rFonts w:ascii="Arial" w:hAnsi="Arial" w:cs="Arial" w:eastAsia="Arial"/>
          <w:b/>
          <w:color w:val="1A2D4F"/>
          <w:sz w:val="20"/>
        </w:rPr>
        <w:t>What the record shows:</w:t>
      </w:r>
      <w:r>
        <w:rPr>
          <w:rFonts w:ascii="Arial" w:hAnsi="Arial" w:cs="Arial" w:eastAsia="Arial"/>
          <w:b w:val="0"/>
          <w:color w:val="444444"/>
          <w:sz w:val="20"/>
        </w:rPr>
        <w:t xml:space="preserve"> that feasibility worry is the exact question the state once ordered studied. Act 187 of 2020 (H4940) created the Electricity Market Reform Measures Study Committee, with an independent expert consultant, on the most contested vote of any enacted bill here (House 81–31). But every bill that would actually let customers choose a supplier — retail choice (H5439), third-party suppliers (H5440, S878), co-op wholesale market access (H5525) — was filed in 2026 and died in its first committee without a vote. The closest market-structure floor fight was S12 (2025), letting Santee Cooper co-own plants with private utilities. It passed second reading 25–18, then was shelved back to committee.</w:t>
      </w:r>
    </w:p>
    <w:p>
      <w:pPr>
        <w:widowControl/>
        <w:spacing w:before="84" w:after="36" w:lineRule="auto" w:line="254"/>
      </w:pPr>
      <w:r>
        <w:rPr>
          <w:rFonts w:ascii="Arial" w:hAnsi="Arial" w:cs="Arial" w:eastAsia="Arial"/>
          <w:b/>
          <w:color w:val="C0392B"/>
          <w:sz w:val="25"/>
          <w:spacing w:val="20"/>
        </w:rPr>
        <w:t>PERSONAL BUDGETING AND FINANCIAL EDUCATION [P-FINANCIAL-EDUCATION]</w:t>
      </w:r>
    </w:p>
    <w:p>
      <w:pPr>
        <w:widowControl/>
        <w:spacing w:before="0" w:after="49" w:lineRule="auto" w:line="247"/>
        <w:jc w:val="both"/>
      </w:pPr>
      <w:r>
        <w:rPr>
          <w:rFonts w:ascii="Arial" w:hAnsi="Arial" w:cs="Arial" w:eastAsia="Arial"/>
          <w:b/>
          <w:color w:val="1A2D4F"/>
          <w:sz w:val="20"/>
        </w:rPr>
        <w:t>What the conversations reported:</w:t>
      </w:r>
      <w:r>
        <w:rPr>
          <w:rFonts w:ascii="Arial" w:hAnsi="Arial" w:cs="Arial" w:eastAsia="Arial"/>
          <w:b w:val="0"/>
          <w:color w:val="444444"/>
          <w:sz w:val="20"/>
        </w:rPr>
        <w:t xml:space="preserve"> raised at one event (Columbia), with mixed agreement. Participants agreed financial skills matter. They split over how to teach them, whether it is the state's role, and how a program would be implemented. </w:t>
      </w:r>
      <w:r>
        <w:rPr>
          <w:rFonts w:ascii="Arial" w:hAnsi="Arial" w:cs="Arial" w:eastAsia="Arial"/>
          <w:b/>
          <w:color w:val="1A2D4F"/>
          <w:sz w:val="20"/>
        </w:rPr>
        <w:t>What the record shows:</w:t>
      </w:r>
      <w:r>
        <w:rPr>
          <w:rFonts w:ascii="Arial" w:hAnsi="Arial" w:cs="Arial" w:eastAsia="Arial"/>
          <w:b w:val="0"/>
          <w:color w:val="444444"/>
          <w:sz w:val="20"/>
        </w:rPr>
        <w:t xml:space="preserve"> the implementation question has an answer on the books. Schools have been required to offer financial-literacy instruction since 2005 (Section 59-29-410). The graduation requirement became policy through the budget after six bills fell short. S16 passed the Senate 44–1 and the House 109–0 in differing versions and died in conference in 2022; that same year, budget proviso 1.101 ordered the requirement into regulation. Regulation 43-234 took effect in May 2023. Every student entering ninth grade from fall 2023 (the Class of 2027 first) must earn a half-credit in personal finance to graduate. No bill on the topic has been filed since. Nothing in the record addresses financial education for adults.</w:t>
      </w:r>
    </w:p>
    <w:p>
      <w:pPr>
        <w:widowControl/>
        <w:spacing w:before="84" w:after="36" w:lineRule="auto" w:line="254"/>
      </w:pPr>
      <w:r>
        <w:rPr>
          <w:rFonts w:ascii="Arial" w:hAnsi="Arial" w:cs="Arial" w:eastAsia="Arial"/>
          <w:b/>
          <w:color w:val="C0392B"/>
          <w:sz w:val="25"/>
          <w:spacing w:val="20"/>
        </w:rPr>
        <w:t>REDUCE OR ELIMINATE PROPERTY AND VEHICLE TAXES [P-REDUCE-PROPERTY-VEHICLE-TAXES]</w:t>
      </w:r>
    </w:p>
    <w:p>
      <w:pPr>
        <w:widowControl/>
        <w:spacing w:before="0" w:after="49" w:lineRule="auto" w:line="247"/>
        <w:jc w:val="both"/>
      </w:pPr>
      <w:r>
        <w:rPr>
          <w:rFonts w:ascii="Arial" w:hAnsi="Arial" w:cs="Arial" w:eastAsia="Arial"/>
          <w:b/>
          <w:color w:val="1A2D4F"/>
          <w:sz w:val="20"/>
        </w:rPr>
        <w:t>From the grid's legislator-feedback section</w:t>
      </w:r>
      <w:r>
        <w:rPr>
          <w:rFonts w:ascii="Arial" w:hAnsi="Arial" w:cs="Arial" w:eastAsia="Arial"/>
          <w:b w:val="0"/>
          <w:color w:val="444444"/>
          <w:sz w:val="20"/>
        </w:rPr>
        <w:t xml:space="preserve"> (no Phase 2 frequency or consensus cells). The flagged tradeoff is replacing the revenue, since schools and local government run on property taxes. </w:t>
      </w:r>
      <w:r>
        <w:rPr>
          <w:rFonts w:ascii="Arial" w:hAnsi="Arial" w:cs="Arial" w:eastAsia="Arial"/>
          <w:b/>
          <w:color w:val="1A2D4F"/>
          <w:sz w:val="20"/>
        </w:rPr>
        <w:t>What the record shows:</w:t>
      </w:r>
      <w:r>
        <w:rPr>
          <w:rFonts w:ascii="Arial" w:hAnsi="Arial" w:cs="Arial" w:eastAsia="Arial"/>
          <w:b w:val="0"/>
          <w:color w:val="444444"/>
          <w:sz w:val="20"/>
        </w:rPr>
        <w:t xml:space="preserve"> the most-filed lane — 80 bills — with the narrowest wins. Full elimination was filed once (H3378, 2025: every property tax, with dollar-for-dollar state repayment). It died in House Ways and Means, where 45 of the 67 home-property-tax bills stopped. Thirty-five homestead-exemption increases died the same way — except S768 (2026: $100,000 and age 60), which passed the Senate 44–0 and then died there too. Thirteen vehicle and boat tax bills produced zero recorded votes; none proposes ending the vehicle tax statewide. What passed is targeted and near-unanimous — disabled veterans (Act 116 of 2024), estates (Act 140 of 2026) — plus one structural option. The Municipal Tax Relief Act (S866, Act 228 of 2026, 32–9 and 96–16) lets certain cities swap a voter-approved sales tax for home property tax credits — it answers the revenue tradeoff by swapping the source. Owner-occupied homes already pay no school operating taxes (a statewide sales-tax penny repays schools). And the biggest recent relief is one-year budget relief: the extra $25,000 homestead exemption (proviso 117.220).</w:t>
      </w:r>
    </w:p>
    <w:p>
      <w:pPr>
        <w:widowControl/>
        <w:spacing w:before="84" w:after="36" w:lineRule="auto" w:line="254"/>
      </w:pPr>
      <w:r>
        <w:rPr>
          <w:rFonts w:ascii="Arial" w:hAnsi="Arial" w:cs="Arial" w:eastAsia="Arial"/>
          <w:b/>
          <w:color w:val="C0392B"/>
          <w:sz w:val="25"/>
          <w:spacing w:val="20"/>
        </w:rPr>
        <w:t>RAISED WITH LEGISLATORS: CHILD CARE ASSISTANCE</w:t>
      </w:r>
    </w:p>
    <w:p>
      <w:pPr>
        <w:widowControl/>
        <w:spacing w:before="0" w:after="49" w:lineRule="auto" w:line="247"/>
        <w:jc w:val="both"/>
      </w:pPr>
      <w:r>
        <w:rPr>
          <w:rFonts w:ascii="Arial" w:hAnsi="Arial" w:cs="Arial" w:eastAsia="Arial"/>
          <w:b/>
          <w:color w:val="1A2D4F"/>
          <w:sz w:val="20"/>
        </w:rPr>
        <w:t>Not a Phase 2 proposal</w:t>
      </w:r>
      <w:r>
        <w:rPr>
          <w:rFonts w:ascii="Arial" w:hAnsi="Arial" w:cs="Arial" w:eastAsia="Arial"/>
          <w:b w:val="0"/>
          <w:color w:val="444444"/>
          <w:sz w:val="20"/>
        </w:rPr>
        <w:t xml:space="preserve"> — sitting legislators have discussed the possibility of some form of childcare assistance, so the record was scanned. What passes in childcare is regulation, never assistance: background checks (Act 52 of 2019), First Steps governance (Act 81 of 2023), caregiver training (Act 216 of 2024). The 2024 modernization bill (S946) passed the Senate 45–0 and the House 105–0 before dying in conference. Every assistance design has died in a money committee without a vote: childcare stipends for unemployed parents (H4394), a bigger employer childcare credit plus a pay-supplement credit for childcare workers (S47/H4015), and a refundable child-and-dependent-care credit (H5794 — filed August 2026, the newest bill in this set). Filings are accelerating. Every design runs through the tax code — the venue where this record's cost relief actually passes. Today's assistance is federal voucher money run through DSS under one-year budget provisos; no direct-payment state subsidy has ever been filed.</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Four rooms decide this issue. Utility bills go to House Labor, Commerce and Industry and to Senate Judiciary — in South Carolina, utility law belongs to the Judiciary Committee. Tax bills, including every childcare-assistance design, go to House Ways and Means and Senate Finance. Of 257 bills, 201 died in their first committee, and no committee vote counts exist because the state does not publish them. Rep. King led fourteen bills — utility billing protections and senior exemptions — all stopped in first committee. Rep. Ott carried the whistleblower bills the House passed 118–0 and 114–0. The enacted packages were carried by chamber leaders: Speaker Lucas (Santee Cooper reform), Rep. G.M. Smith (the energy bills), Sen. Peeler (the 2022 tax cut and S768). The contested votes are few: the market-reform study (81–31), Santee Cooper joint ownership (25–18), the 2026 income tax cut (64–47), and the sales-tax swap (32–9).</w:t>
      </w:r>
    </w:p>
    <w:p>
      <w:pPr>
        <w:widowControl/>
        <w:spacing w:before="84" w:after="36" w:lineRule="auto" w:line="254"/>
      </w:pPr>
      <w:r>
        <w:rPr>
          <w:rFonts w:ascii="Arial" w:hAnsi="Arial" w:cs="Arial" w:eastAsia="Arial"/>
          <w:b/>
          <w:color w:val="C0392B"/>
          <w:sz w:val="25"/>
          <w:spacing w:val="20"/>
        </w:rPr>
        <w:t>NEW LAW FROM THE 2025–2026 SESSION</w:t>
      </w:r>
    </w:p>
    <w:p>
      <w:pPr>
        <w:widowControl/>
        <w:spacing w:before="0" w:after="49" w:lineRule="auto" w:line="247"/>
        <w:jc w:val="both"/>
      </w:pPr>
      <w:r>
        <w:rPr>
          <w:rFonts w:ascii="Arial" w:hAnsi="Arial" w:cs="Arial" w:eastAsia="Arial"/>
          <w:b w:val="0"/>
          <w:color w:val="444444"/>
          <w:sz w:val="20"/>
        </w:rPr>
        <w:t>The 126th was the biggest enacting session in this record: the Energy Security Act (Act 41), restarted PSC elections (Acts 74/75), the income tax restructuring to a 5.21% top rate (Act 110 of 2026), the municipal sales-tax swap (Act 228), and the domestic-violence lease release (Act 184) — plus the budget's extra homestead exemption and "Made it Home!" starter-home program.</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UTILITY RATES AND LEGISLATOR–UTILITY TIES [P-UTILITY-TRANSPARENCY]</w:t>
      </w:r>
    </w:p>
    <w:p>
      <w:pPr>
        <w:widowControl/>
        <w:spacing w:before="0" w:after="49" w:lineRule="auto" w:line="247"/>
        <w:jc w:val="both"/>
      </w:pPr>
      <w:r>
        <w:rPr>
          <w:rFonts w:ascii="Arial" w:hAnsi="Arial" w:cs="Arial" w:eastAsia="Arial"/>
          <w:b/>
          <w:color w:val="1A2D4F"/>
          <w:sz w:val="20"/>
        </w:rPr>
        <w:t>Reported in the grid:</w:t>
      </w:r>
      <w:r>
        <w:rPr>
          <w:rFonts w:ascii="Arial" w:hAnsi="Arial" w:cs="Arial" w:eastAsia="Arial"/>
          <w:b w:val="0"/>
          <w:color w:val="444444"/>
          <w:sz w:val="20"/>
        </w:rPr>
        <w:t xml:space="preserve"> medium frequency (two of four in-person events); high consensus when discussed; the through-line was that consumers feel the utility company has all the power. </w:t>
      </w:r>
      <w:r>
        <w:rPr>
          <w:rFonts w:ascii="Arial" w:hAnsi="Arial" w:cs="Arial" w:eastAsia="Arial"/>
          <w:b/>
          <w:color w:val="1A2D4F"/>
          <w:sz w:val="20"/>
        </w:rPr>
        <w:t>The record, point by point:</w:t>
      </w:r>
      <w:r>
        <w:rPr>
          <w:rFonts w:ascii="Arial" w:hAnsi="Arial" w:cs="Arial" w:eastAsia="Arial"/>
          <w:b w:val="0"/>
          <w:color w:val="444444"/>
          <w:sz w:val="20"/>
        </w:rPr>
        <w:t xml:space="preserve"> the power imbalance is what the enacted oversight wave addressed — Santee Cooper's rates now go through PSC review (Act 90 of 2021), PSC elections restarted after years of expired terms (Acts 74/75 of 2025), and customers can now testify as public witnesses in rate cases with testimony deadlines the utility must meet (Act 41 of 2025). The unfinished half is accountability around the regulators themselves: the 2019 Ratepayer Protection Act (H4260) — no utility campaign contributions, meals, lodging, or anything of value for members of the Public Utilities Review Committee, whistleblower protections, conflict-of-interest rules — passed the House 105–1 and died in Senate Judiciary, and its narrower refiles repeated that path 101–0 (H4776), 118–0 (H4149), and 114–0 (H3614). On disclosure specifically, the grid's legislator note says members already report on their Statements of Economic Interests; the record adds that those annual ethics filings are public but not utility-specific, and that no bill from 2019–2026 proposes a utility-specific disclosure duty for legislators — the filed approach regulated what utilities may give, not what legislators must disclose.</w:t>
      </w:r>
    </w:p>
    <w:p>
      <w:pPr>
        <w:widowControl/>
        <w:spacing w:before="84" w:after="36" w:lineRule="auto" w:line="254"/>
      </w:pPr>
      <w:r>
        <w:rPr>
          <w:rFonts w:ascii="Arial" w:hAnsi="Arial" w:cs="Arial" w:eastAsia="Arial"/>
          <w:b/>
          <w:color w:val="C0392B"/>
          <w:sz w:val="25"/>
          <w:spacing w:val="20"/>
        </w:rPr>
        <w:t>OPENING THE UTILITY MARKET [P-UTILITY-COMPETITION]</w:t>
      </w:r>
    </w:p>
    <w:p>
      <w:pPr>
        <w:widowControl/>
        <w:spacing w:before="0" w:after="49" w:lineRule="auto" w:line="247"/>
        <w:jc w:val="both"/>
      </w:pPr>
      <w:r>
        <w:rPr>
          <w:rFonts w:ascii="Arial" w:hAnsi="Arial" w:cs="Arial" w:eastAsia="Arial"/>
          <w:b/>
          <w:color w:val="1A2D4F"/>
          <w:sz w:val="20"/>
        </w:rPr>
        <w:t>Reported in the grid:</w:t>
      </w:r>
      <w:r>
        <w:rPr>
          <w:rFonts w:ascii="Arial" w:hAnsi="Arial" w:cs="Arial" w:eastAsia="Arial"/>
          <w:b w:val="0"/>
          <w:color w:val="444444"/>
          <w:sz w:val="20"/>
        </w:rPr>
        <w:t xml:space="preserve"> medium frequency (two of four events); mixed consensus — some believed a free market could lower prices, others questioned feasibility given the infrastructure it takes to run a utility; the legislator note calls the idea a non-starter. </w:t>
      </w:r>
      <w:r>
        <w:rPr>
          <w:rFonts w:ascii="Arial" w:hAnsi="Arial" w:cs="Arial" w:eastAsia="Arial"/>
          <w:b/>
          <w:color w:val="1A2D4F"/>
          <w:sz w:val="20"/>
        </w:rPr>
        <w:t>The record, point by point:</w:t>
      </w:r>
      <w:r>
        <w:rPr>
          <w:rFonts w:ascii="Arial" w:hAnsi="Arial" w:cs="Arial" w:eastAsia="Arial"/>
          <w:b w:val="0"/>
          <w:color w:val="444444"/>
          <w:sz w:val="20"/>
        </w:rPr>
        <w:t xml:space="preserve"> the feasibility worry is the question Act 187 of 2020 (H4940) created the Electricity Market Reform Measures Study Committee to answer, with an independent expert consultant — House 81–31, Senate 41–0; the committee's report sits outside this bill record. The bills that would actually open the market all arrived in 2026, after two years of rate debates, and none received a vote: H5439 (retail choice for households and small businesses, with PSC permits and plain-language price disclosures), H5440 and S878 (third-party suppliers over the incumbent's wires, with the customer paying transmission costs — designs that work within the existing infrastructure rather than duplicating it), and H5525 (PSC oversight of the co-ops' wholesale power contracts). Earlier edges went the same way: territory choice for businesses (H3344, 2019) and forcing Santee Cooper to join a regional grid operator (S439, 2021). The one market-structure floor vote is S12 (2025) — Santee Cooper co-owning plants with private utilities — 25–18 on second reading, then shelved.</w:t>
      </w:r>
    </w:p>
    <w:p>
      <w:pPr>
        <w:widowControl/>
        <w:spacing w:before="84" w:after="36" w:lineRule="auto" w:line="254"/>
      </w:pPr>
      <w:r>
        <w:rPr>
          <w:rFonts w:ascii="Arial" w:hAnsi="Arial" w:cs="Arial" w:eastAsia="Arial"/>
          <w:b/>
          <w:color w:val="C0392B"/>
          <w:sz w:val="25"/>
          <w:spacing w:val="20"/>
        </w:rPr>
        <w:t>PERSONAL BUDGETING AND FINANCIAL EDUCATION [P-FINANCIAL-EDUCATION]</w:t>
      </w:r>
    </w:p>
    <w:p>
      <w:pPr>
        <w:widowControl/>
        <w:spacing w:before="0" w:after="49" w:lineRule="auto" w:line="247"/>
        <w:jc w:val="both"/>
      </w:pPr>
      <w:r>
        <w:rPr>
          <w:rFonts w:ascii="Arial" w:hAnsi="Arial" w:cs="Arial" w:eastAsia="Arial"/>
          <w:b/>
          <w:color w:val="1A2D4F"/>
          <w:sz w:val="20"/>
        </w:rPr>
        <w:t>Reported in the grid:</w:t>
      </w:r>
      <w:r>
        <w:rPr>
          <w:rFonts w:ascii="Arial" w:hAnsi="Arial" w:cs="Arial" w:eastAsia="Arial"/>
          <w:b w:val="0"/>
          <w:color w:val="444444"/>
          <w:sz w:val="20"/>
        </w:rPr>
        <w:t xml:space="preserve"> low frequency (Columbia); mixed consensus — agreement that financial responsibility matters, divergence on how to accomplish it; concerns about implementation and whether it is the state's responsibility; the legislator note asks for "a specific action," such as a subject taught in schools. </w:t>
      </w:r>
      <w:r>
        <w:rPr>
          <w:rFonts w:ascii="Arial" w:hAnsi="Arial" w:cs="Arial" w:eastAsia="Arial"/>
          <w:b/>
          <w:color w:val="1A2D4F"/>
          <w:sz w:val="20"/>
        </w:rPr>
        <w:t>The record, point by point:</w:t>
      </w:r>
      <w:r>
        <w:rPr>
          <w:rFonts w:ascii="Arial" w:hAnsi="Arial" w:cs="Arial" w:eastAsia="Arial"/>
          <w:b w:val="0"/>
          <w:color w:val="444444"/>
          <w:sz w:val="20"/>
        </w:rPr>
        <w:t xml:space="preserve"> the specific action the note asks for already happened. The state claimed the role in 2005 (Section 59-29-410, required financial-literacy instruction offerings), and the school-subject version became binding through the budget: after S16 passed the Senate 44–1 and the House 109–0 in differing versions and died in conference (2022), FY 2022-23 proviso 1.101 directed the State Board of Education to write a required half-credit in personal finance into the graduation regulation. Regulation 43-234 (Document 5130) took effect May 26, 2023; every student entering ninth grade from fall 2023 — the Class of 2027 first — must earn the credit. The approval resolution (S732) stalled in committee, but under the state's regulation-review law the requirement took effect anyway. The implementation questions participants raised remain live in one sense: the first bound class has not yet graduated, so no outcome data exists, and no bill has ever addressed financial education for adults.</w:t>
      </w:r>
    </w:p>
    <w:p>
      <w:pPr>
        <w:widowControl/>
        <w:spacing w:before="84" w:after="36" w:lineRule="auto" w:line="254"/>
      </w:pPr>
      <w:r>
        <w:rPr>
          <w:rFonts w:ascii="Arial" w:hAnsi="Arial" w:cs="Arial" w:eastAsia="Arial"/>
          <w:b/>
          <w:color w:val="C0392B"/>
          <w:sz w:val="25"/>
          <w:spacing w:val="20"/>
        </w:rPr>
        <w:t>REDUCE OR ELIMINATE PROPERTY AND VEHICLE TAXES [P-REDUCE-PROPERTY-VEHICLE-TAXES]</w:t>
      </w:r>
    </w:p>
    <w:p>
      <w:pPr>
        <w:widowControl/>
        <w:spacing w:before="0" w:after="49" w:lineRule="auto" w:line="247"/>
        <w:jc w:val="both"/>
      </w:pPr>
      <w:r>
        <w:rPr>
          <w:rFonts w:ascii="Arial" w:hAnsi="Arial" w:cs="Arial" w:eastAsia="Arial"/>
          <w:b/>
          <w:color w:val="1A2D4F"/>
          <w:sz w:val="20"/>
        </w:rPr>
        <w:t>From the grid's legislator-feedback section;</w:t>
      </w:r>
      <w:r>
        <w:rPr>
          <w:rFonts w:ascii="Arial" w:hAnsi="Arial" w:cs="Arial" w:eastAsia="Arial"/>
          <w:b w:val="0"/>
          <w:color w:val="444444"/>
          <w:sz w:val="20"/>
        </w:rPr>
        <w:t xml:space="preserve"> the standing tradeoff is what replaces the revenue that schools and local governments collect. </w:t>
      </w:r>
      <w:r>
        <w:rPr>
          <w:rFonts w:ascii="Arial" w:hAnsi="Arial" w:cs="Arial" w:eastAsia="Arial"/>
          <w:b/>
          <w:color w:val="1A2D4F"/>
          <w:sz w:val="20"/>
        </w:rPr>
        <w:t>The record, point by point:</w:t>
      </w:r>
      <w:r>
        <w:rPr>
          <w:rFonts w:ascii="Arial" w:hAnsi="Arial" w:cs="Arial" w:eastAsia="Arial"/>
          <w:b w:val="0"/>
          <w:color w:val="444444"/>
          <w:sz w:val="20"/>
        </w:rPr>
        <w:t xml:space="preserve"> eighty bills, the narrowest wins, and the budget doing the heaviest recent lifting. Full elimination was filed once: H3378 (2025) would have ended all property taxes with dollar-for-dollar state repayment to local governments; it died in House Ways and Means without a vote. Thirty-five bills to raise the $50,000 senior/disabled homestead exemption — to $75,000 (S910), $100,000 (H3127, S768), the home's full value (H3687, H4197), or new groups (deaf taxpayers, S1027/S433) — died the same way, except S768 (2026), which passed the Senate 44–0 and then died in House Ways and Means. On vehicles: thirteen bills, zero votes, none statewide — the broadest (H5014, 2026) would have exempted one car per senior. What became law is targeted: disabled veterans (Act 116 of 2024), surviving spouses and heirs' property (Act 236 of 2022), estates (Act 140 of 2026), installment payments (Act 69 of 2021), plus the S866 sales-tax-swap option for cities (Act 228 of 2026) — the one enacted design that answers the revenue tradeoff directly, by replacing property tax with a voter-approved sales tax. The budget did the rest: proviso 117.220 adds an extra $25,000 homestead exemption this year, and provisos 117.208/117.191 accelerated the income tax cut. Since 2006, owner-occupied homes already pay no school operating taxes — a statewide sales-tax penny repays the schools — so elimination designs concern the remaining county, municipal, and bond lines, plus vehicles.</w:t>
      </w:r>
    </w:p>
    <w:p>
      <w:pPr>
        <w:widowControl/>
        <w:spacing w:before="84" w:after="36" w:lineRule="auto" w:line="254"/>
      </w:pPr>
      <w:r>
        <w:rPr>
          <w:rFonts w:ascii="Arial" w:hAnsi="Arial" w:cs="Arial" w:eastAsia="Arial"/>
          <w:b/>
          <w:color w:val="C0392B"/>
          <w:sz w:val="25"/>
          <w:spacing w:val="20"/>
        </w:rPr>
        <w:t>CHILD CARE ASSISTANCE (LEGISLATOR-DISCUSSION TOPIC)</w:t>
      </w:r>
    </w:p>
    <w:p>
      <w:pPr>
        <w:widowControl/>
        <w:spacing w:before="0" w:after="49" w:lineRule="auto" w:line="247"/>
        <w:jc w:val="both"/>
      </w:pPr>
      <w:r>
        <w:rPr>
          <w:rFonts w:ascii="Arial" w:hAnsi="Arial" w:cs="Arial" w:eastAsia="Arial"/>
          <w:b/>
          <w:color w:val="1A2D4F"/>
          <w:sz w:val="20"/>
        </w:rPr>
        <w:t>Not a Phase 2 proposal:</w:t>
      </w:r>
      <w:r>
        <w:rPr>
          <w:rFonts w:ascii="Arial" w:hAnsi="Arial" w:cs="Arial" w:eastAsia="Arial"/>
          <w:b w:val="0"/>
          <w:color w:val="444444"/>
          <w:sz w:val="20"/>
        </w:rPr>
        <w:t xml:space="preserve"> raised in reported discussions with sitting legislators; scanned on request. </w:t>
      </w:r>
      <w:r>
        <w:rPr>
          <w:rFonts w:ascii="Arial" w:hAnsi="Arial" w:cs="Arial" w:eastAsia="Arial"/>
          <w:b/>
          <w:color w:val="1A2D4F"/>
          <w:sz w:val="20"/>
        </w:rPr>
        <w:t>The record:</w:t>
      </w:r>
      <w:r>
        <w:rPr>
          <w:rFonts w:ascii="Arial" w:hAnsi="Arial" w:cs="Arial" w:eastAsia="Arial"/>
          <w:b w:val="0"/>
          <w:color w:val="444444"/>
          <w:sz w:val="20"/>
        </w:rPr>
        <w:t xml:space="preserve"> three childcare acts in eight years, all regulation — staff background checks (S595, Act 52 of 2019, 39–0 and 100–1), First Steps board restructuring (H4023, Act 81 of 2023, 41–0 and 107–0), caregiver training requirements (S862, Act 216 of 2024). The near-miss was also regulation: S946 (2024) passed the Senate 45–0 and the House 105–0 in differing versions and died in conference at session's end. Every assistance design died in a money committee without a vote: workforce childcare stipends for unemployed parents and caregivers (H4394, 2025); a bigger employer childcare tax credit plus a new credit for childcare directors and staff (S47/H4015, 2025); a refundable child-and-dependent-care credit (H5794, filed August 2026); the Childcare Advance Act deferral (H4993, 2024); pre-K expansion grants (H5205, 2024). One bill runs the other direction — S770 (2026) would add work requirements to federally funded childcare assistance. The machinery any design would build on already exists: two childcare tax credits in statute, the federal voucher program run through DSS under one-year budget provisos (38.17, plus a new fraud-reporting proviso 38.28 this year), and Full-Day 4K expanding through provisos every cycle. What has never been filed: a direct-payment state subsidy to families or providers outside the tax code.</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Public Service Commission (PSC):</w:t>
      </w:r>
      <w:r>
        <w:rPr>
          <w:rFonts w:ascii="Arial" w:hAnsi="Arial" w:cs="Arial" w:eastAsia="Arial"/>
          <w:b w:val="0"/>
          <w:color w:val="444444"/>
          <w:sz w:val="20"/>
        </w:rPr>
        <w:t xml:space="preserve"> The seven-member state body that sets investor-owned utilities' rates case by case; elected by the General Assembly after screening.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Public Utilities Review Committee:</w:t>
      </w:r>
      <w:r>
        <w:rPr>
          <w:rFonts w:ascii="Arial" w:hAnsi="Arial" w:cs="Arial" w:eastAsia="Arial"/>
          <w:b w:val="0"/>
          <w:color w:val="444444"/>
          <w:sz w:val="20"/>
        </w:rPr>
        <w:t xml:space="preserve"> The legislative panel that screens PSC candidates. The 2019 Ratepayer Protection Act would have barred utilities from giving its members anything of value.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Santee Cooper:</w:t>
      </w:r>
      <w:r>
        <w:rPr>
          <w:rFonts w:ascii="Arial" w:hAnsi="Arial" w:cs="Arial" w:eastAsia="Arial"/>
          <w:b w:val="0"/>
          <w:color w:val="444444"/>
          <w:sz w:val="20"/>
        </w:rPr>
        <w:t xml:space="preserve"> The state-owned electric and water utility (officially the SC Public Service Authority); its role in V.C. Summer drove most of the oversight laws in this brief.</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V.C. Summer:</w:t>
      </w:r>
      <w:r>
        <w:rPr>
          <w:rFonts w:ascii="Arial" w:hAnsi="Arial" w:cs="Arial" w:eastAsia="Arial"/>
          <w:b w:val="0"/>
          <w:color w:val="444444"/>
          <w:sz w:val="20"/>
        </w:rPr>
        <w:t xml:space="preserve"> The two-reactor nuclear project abandoned in 2017 after billions in spending; customers were left paying for it, setting off the 2019–2025 wave of utility legislation.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Rate case:</w:t>
      </w:r>
      <w:r>
        <w:rPr>
          <w:rFonts w:ascii="Arial" w:hAnsi="Arial" w:cs="Arial" w:eastAsia="Arial"/>
          <w:b w:val="0"/>
          <w:color w:val="444444"/>
          <w:sz w:val="20"/>
        </w:rPr>
        <w:t xml:space="preserve"> The PSC proceeding where a utility asks to change its rates. The 2025 Energy Security Act lets customers testify in these as public witnesses.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Service territory / retail choice:</w:t>
      </w:r>
      <w:r>
        <w:rPr>
          <w:rFonts w:ascii="Arial" w:hAnsi="Arial" w:cs="Arial" w:eastAsia="Arial"/>
          <w:b w:val="0"/>
          <w:color w:val="444444"/>
          <w:sz w:val="20"/>
        </w:rPr>
        <w:t xml:space="preserve"> State law assigns each area one electric provider; customers cannot choose. Retail-choice bills (first filed 2026) would let customers buy power from competing sellers over the existing wires.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Statement of Economic Interests (SEI):</w:t>
      </w:r>
      <w:r>
        <w:rPr>
          <w:rFonts w:ascii="Arial" w:hAnsi="Arial" w:cs="Arial" w:eastAsia="Arial"/>
          <w:b w:val="0"/>
          <w:color w:val="444444"/>
          <w:sz w:val="20"/>
        </w:rPr>
        <w:t xml:space="preserve"> The annual public disclosure of income sources and business ties legislators file under the ethics law. Not utility-specific.</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Proviso / Part IB:</w:t>
      </w:r>
      <w:r>
        <w:rPr>
          <w:rFonts w:ascii="Arial" w:hAnsi="Arial" w:cs="Arial" w:eastAsia="Arial"/>
          <w:b w:val="0"/>
          <w:color w:val="444444"/>
          <w:sz w:val="20"/>
        </w:rPr>
        <w:t xml:space="preserve"> A one-year policy rule enacted inside the annual budget bill; Part IB is the section that carries them. Votes attach to the whole budget bill, never one proviso.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Homestead exemption:</w:t>
      </w:r>
      <w:r>
        <w:rPr>
          <w:rFonts w:ascii="Arial" w:hAnsi="Arial" w:cs="Arial" w:eastAsia="Arial"/>
          <w:b w:val="0"/>
          <w:color w:val="444444"/>
          <w:sz w:val="20"/>
        </w:rPr>
        <w:t xml:space="preserve"> For homeowners 65+, disabled, or legally blind, the first $50,000 of home value is tax-exempt (§12-37-250). This year's budget adds a one-year extra $25,000 (proviso 117.220).</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Act 388 swap:</w:t>
      </w:r>
      <w:r>
        <w:rPr>
          <w:rFonts w:ascii="Arial" w:hAnsi="Arial" w:cs="Arial" w:eastAsia="Arial"/>
          <w:b w:val="0"/>
          <w:color w:val="444444"/>
          <w:sz w:val="20"/>
        </w:rPr>
        <w:t xml:space="preserve"> Since 2006, owner-occupied homes pay no school operating property taxes; a statewide sales-tax penny reimburses schools through the Homestead Exemption Fund.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Assessment ratio:</w:t>
      </w:r>
      <w:r>
        <w:rPr>
          <w:rFonts w:ascii="Arial" w:hAnsi="Arial" w:cs="Arial" w:eastAsia="Arial"/>
          <w:b w:val="0"/>
          <w:color w:val="444444"/>
          <w:sz w:val="20"/>
        </w:rPr>
        <w:t xml:space="preserve"> Owner-occupied homes are taxed on 4% of value; rentals, second homes, and businesses on 6%. Act 140 of 2026 keeps a home at 4% while an estate settles.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Vehicle property tax:</w:t>
      </w:r>
      <w:r>
        <w:rPr>
          <w:rFonts w:ascii="Arial" w:hAnsi="Arial" w:cs="Arial" w:eastAsia="Arial"/>
          <w:b w:val="0"/>
          <w:color w:val="444444"/>
          <w:sz w:val="20"/>
        </w:rPr>
        <w:t xml:space="preserve"> The county tax paid each year at registration on a car's value — county revenue, set under state rules.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Municipal Tax Relief Act (S866):</w:t>
      </w:r>
      <w:r>
        <w:rPr>
          <w:rFonts w:ascii="Arial" w:hAnsi="Arial" w:cs="Arial" w:eastAsia="Arial"/>
          <w:b w:val="0"/>
          <w:color w:val="444444"/>
          <w:sz w:val="20"/>
        </w:rPr>
        <w:t xml:space="preserve"> The 2026 law letting certain cities ask voters to approve up to a 1% sales tax that funds property tax credits on owner-occupied homes.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Child care voucher / scholarship:</w:t>
      </w:r>
      <w:r>
        <w:rPr>
          <w:rFonts w:ascii="Arial" w:hAnsi="Arial" w:cs="Arial" w:eastAsia="Arial"/>
          <w:b w:val="0"/>
          <w:color w:val="444444"/>
          <w:sz w:val="20"/>
        </w:rPr>
        <w:t xml:space="preserve"> The federally funded childcare assistance program run through DSS; the budget regulates it annually by proviso. The state's two childcare tax credits (for employers, and for child and dependent care expenses) are the machinery the filed assistance bills would extend.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Regulation 43-234 / Doc. 5130:</w:t>
      </w:r>
      <w:r>
        <w:rPr>
          <w:rFonts w:ascii="Arial" w:hAnsi="Arial" w:cs="Arial" w:eastAsia="Arial"/>
          <w:b w:val="0"/>
          <w:color w:val="444444"/>
          <w:sz w:val="20"/>
        </w:rPr>
        <w:t xml:space="preserve"> The State Board of Education graduation regulation requiring a half-credit in personal finance, effective May 26, 2023.</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 / S bill numbers:</w:t>
      </w:r>
      <w:r>
        <w:rPr>
          <w:rFonts w:ascii="Arial" w:hAnsi="Arial" w:cs="Arial" w:eastAsia="Arial"/>
          <w:b w:val="0"/>
          <w:color w:val="444444"/>
          <w:sz w:val="20"/>
        </w:rPr>
        <w:t xml:space="preserve"> The chamber a bill started in (House or Senate) plus its number. Numbering restarts each two-year General Assembly, so the same number in different sessions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General Assembly / session:</w:t>
      </w:r>
      <w:r>
        <w:rPr>
          <w:rFonts w:ascii="Arial" w:hAnsi="Arial" w:cs="Arial" w:eastAsia="Arial"/>
          <w:b w:val="0"/>
          <w:color w:val="444444"/>
          <w:sz w:val="20"/>
        </w:rPr>
        <w:t xml:space="preserve"> The legislature elected for two years — the 123rd (2019–2020) through the 126th (2025–2026) appear in this brief. A bill filed in the first year stays alive into the second; everything unpassed dies when the second year ends.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First committee:</w:t>
      </w:r>
      <w:r>
        <w:rPr>
          <w:rFonts w:ascii="Arial" w:hAnsi="Arial" w:cs="Arial" w:eastAsia="Arial"/>
          <w:b w:val="0"/>
          <w:color w:val="444444"/>
          <w:sz w:val="20"/>
        </w:rPr>
        <w:t xml:space="preserve"> The committee a bill is sent to after introduction; most bills that fail die there. In the Senate, utility bills go to Judiciary — a quirk of South Carolina's committee system.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report:</w:t>
      </w:r>
      <w:r>
        <w:rPr>
          <w:rFonts w:ascii="Arial" w:hAnsi="Arial" w:cs="Arial" w:eastAsia="Arial"/>
          <w:b w:val="0"/>
          <w:color w:val="444444"/>
          <w:sz w:val="20"/>
        </w:rPr>
        <w:t xml:space="preserve"> The committee's published outcome — "Favorable" or "Favorable with amendment." The state never publishes committee vote tallies, so no committee vote counts exist.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Recommitted:</w:t>
      </w:r>
      <w:r>
        <w:rPr>
          <w:rFonts w:ascii="Arial" w:hAnsi="Arial" w:cs="Arial" w:eastAsia="Arial"/>
          <w:b w:val="0"/>
          <w:color w:val="444444"/>
          <w:sz w:val="20"/>
        </w:rPr>
        <w:t xml:space="preserve"> Sent from the floor calendar back to committee — how S12 and S446 were shelved in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Readings:</w:t>
      </w:r>
      <w:r>
        <w:rPr>
          <w:rFonts w:ascii="Arial" w:hAnsi="Arial" w:cs="Arial" w:eastAsia="Arial"/>
          <w:b w:val="0"/>
          <w:color w:val="444444"/>
          <w:sz w:val="20"/>
        </w:rPr>
        <w:t xml:space="preserve"> A bill passes a chamber through three readings; recorded roll calls attach to second or third reading, or to "Passage of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Roll call / vote pairs (e.g. 94–11 and 38–3):</w:t>
      </w:r>
      <w:r>
        <w:rPr>
          <w:rFonts w:ascii="Arial" w:hAnsi="Arial" w:cs="Arial" w:eastAsia="Arial"/>
          <w:b w:val="0"/>
          <w:color w:val="444444"/>
          <w:sz w:val="20"/>
        </w:rPr>
        <w:t xml:space="preserve"> Yes–no floor tallies, one per chamber. The House has 124 members, the Senate 46; lower totals reflect absences.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chamber:</w:t>
      </w:r>
      <w:r>
        <w:rPr>
          <w:rFonts w:ascii="Arial" w:hAnsi="Arial" w:cs="Arial" w:eastAsia="Arial"/>
          <w:b w:val="0"/>
          <w:color w:val="444444"/>
          <w:sz w:val="20"/>
        </w:rPr>
        <w:t xml:space="preserve"> After passing its own chamber, a bill repeats the whole process — committee, then floor — in the other one. That second committee stop is where the House-passed utility bills die.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Conference committee:</w:t>
      </w:r>
      <w:r>
        <w:rPr>
          <w:rFonts w:ascii="Arial" w:hAnsi="Arial" w:cs="Arial" w:eastAsia="Arial"/>
          <w:b w:val="0"/>
          <w:color w:val="444444"/>
          <w:sz w:val="20"/>
        </w:rPr>
        <w:t xml:space="preserve"> Negotiators from both chambers who reconcile differing versions; a bill dies there if no deal comes before session's end (S16 in 2022, H5118 in 2024, S946 in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Ratified / Act number:</w:t>
      </w:r>
      <w:r>
        <w:rPr>
          <w:rFonts w:ascii="Arial" w:hAnsi="Arial" w:cs="Arial" w:eastAsia="Arial"/>
          <w:b w:val="0"/>
          <w:color w:val="444444"/>
          <w:sz w:val="20"/>
        </w:rPr>
        <w:t xml:space="preserve"> After both chambers pass identical text, the bill goes to the governor; a signed bill becomes a numbered act — "Act 41 of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 / override:</w:t>
      </w:r>
      <w:r>
        <w:rPr>
          <w:rFonts w:ascii="Arial" w:hAnsi="Arial" w:cs="Arial" w:eastAsia="Arial"/>
          <w:b w:val="0"/>
          <w:color w:val="444444"/>
          <w:sz w:val="20"/>
        </w:rPr>
        <w:t xml:space="preserve"> The governor can reject a passed bill; two-thirds of each chamber can override. No bill in this set was vetoed.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Joint resolution:</w:t>
      </w:r>
      <w:r>
        <w:rPr>
          <w:rFonts w:ascii="Arial" w:hAnsi="Arial" w:cs="Arial" w:eastAsia="Arial"/>
          <w:b w:val="0"/>
          <w:color w:val="444444"/>
          <w:sz w:val="20"/>
        </w:rPr>
        <w:t xml:space="preserve"> A measure with the force of law used for single actions — like the Santee Cooper bidding process (H4287).</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Regulation review:</w:t>
      </w:r>
      <w:r>
        <w:rPr>
          <w:rFonts w:ascii="Arial" w:hAnsi="Arial" w:cs="Arial" w:eastAsia="Arial"/>
          <w:b w:val="0"/>
          <w:color w:val="444444"/>
          <w:sz w:val="20"/>
        </w:rPr>
        <w:t xml:space="preserve"> Agency regulations go to the General Assembly; if lawmakers do not act within the review window, the regulation takes effect anyway — how the personal-finance requirement became binding. A bill that instead "dies at session's end" simply ran out of calendar — a timing stop, not a recorded "no."</w:t>
      </w:r>
    </w:p>
    <w:p>
      <w:pPr>
        <w:widowControl/>
        <w:spacing w:before="40" w:after="0" w:lineRule="auto" w:line="254"/>
        <w:pBdr>
          <w:top w:val="single" w:sz="6" w:space="4" w:color="C8CDD6"/>
        </w:pBdr>
      </w:pPr>
      <w:r>
        <w:rPr>
          <w:rFonts w:ascii="Arial" w:hAnsi="Arial" w:cs="Arial" w:eastAsia="Arial"/>
          <w:b w:val="0"/>
          <w:color w:val="666666"/>
          <w:sz w:val="20"/>
          <w:spacing w:val="4"/>
        </w:rPr>
        <w:t>Full bill-by-bill detail, votes, sponsors, provisos,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