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18"/>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4"/>
        </w:rPr>
        <w:t>K-12 Educational Outcomes in Nevada</w:t>
      </w:r>
    </w:p>
    <w:p>
      <w:pPr>
        <w:widowControl/>
        <w:spacing w:before="0" w:after="120" w:lineRule="auto" w:line="254"/>
      </w:pPr>
      <w:r>
        <w:rPr>
          <w:rFonts w:ascii="Arial" w:hAnsi="Arial" w:cs="Arial" w:eastAsia="Arial"/>
          <w:b w:val="0"/>
          <w:color w:val="444444"/>
          <w:sz w:val="17"/>
        </w:rPr>
        <w:t>The legislative record behind Nevadans' ten most common K-12 education proposals, 2019–2025 — organized by how far each idea has traveled toward law.</w:t>
      </w:r>
    </w:p>
    <w:p>
      <w:pPr>
        <w:widowControl/>
        <w:spacing w:before="100" w:after="50" w:lineRule="auto" w:line="254"/>
      </w:pPr>
      <w:r>
        <w:rPr>
          <w:rFonts w:ascii="Arial" w:hAnsi="Arial" w:cs="Arial" w:eastAsia="Arial"/>
          <w:b/>
          <w:color w:val="C0392B"/>
          <w:sz w:val="21"/>
          <w:spacing w:val="20"/>
        </w:rPr>
        <w:t>WHAT THIS BRIEF COVERS AND HOW IT IS ORGANIZED</w:t>
      </w:r>
    </w:p>
    <w:p>
      <w:pPr>
        <w:widowControl/>
        <w:spacing w:before="0" w:after="64" w:lineRule="auto" w:line="250"/>
        <w:jc w:val="both"/>
      </w:pPr>
      <w:r>
        <w:rPr>
          <w:rFonts w:ascii="Arial" w:hAnsi="Arial" w:cs="Arial" w:eastAsia="Arial"/>
          <w:b w:val="0"/>
          <w:color w:val="444444"/>
          <w:sz w:val="17"/>
        </w:rPr>
        <w:t>Education is the Legislature's biggest and most cross-party subject: 513 bills across the 2019, 2021, 2023, and 2025 sessions, 228 of them now law (see Key numbers for the cross-party count). The big structural fight settled early — SB543 (2019) replaced the Nevada Plan with the Pupil-Centered Funding Plan — and every session since has built on it. Raises, audits, funding acts, and licensure bills pass, usually near-unanimously, and get signed; what stalls is narrower — oversight machinery, classroom-time mandates, and changes to what gets measured, several within one vote of law. The sections below sort the record by distance traveled: bills that passed both chambers, then bills with a winning vote behind them, then settled law and its openings, then routes with no traction yet — with notes on momentum, federal overlap, and sponsors.</w:t>
      </w:r>
    </w:p>
    <w:p>
      <w:pPr>
        <w:widowControl/>
        <w:spacing w:before="100" w:after="50" w:lineRule="auto" w:line="254"/>
      </w:pPr>
      <w:r>
        <w:rPr>
          <w:rFonts w:ascii="Arial" w:hAnsi="Arial" w:cs="Arial" w:eastAsia="Arial"/>
          <w:b/>
          <w:color w:val="C0392B"/>
          <w:sz w:val="21"/>
          <w:spacing w:val="20"/>
        </w:rPr>
        <w:t>KEY NUMBERS: HOW FAR THESE PROPOSALS HAVE TRAVELED</w:t>
      </w:r>
    </w:p>
    <w:p>
      <w:pPr>
        <w:widowControl/>
        <w:spacing w:before="0" w:after="60" w:lineRule="auto" w:line="254"/>
      </w:pPr>
      <w:r>
        <w:rPr>
          <w:rFonts w:ascii="Arial" w:hAnsi="Arial" w:cs="Arial" w:eastAsia="Arial"/>
          <w:b w:val="0"/>
          <w:i/>
          <w:color w:val="666666"/>
          <w:sz w:val="16"/>
        </w:rPr>
        <w:t>Each figure below is unpacked, bill by bill, in the section it points to.</w:t>
      </w:r>
    </w:p>
    <w:tbl>
      <w:tblPr>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513</w:t>
            </w:r>
          </w:p>
          <w:p>
            <w:pPr>
              <w:spacing w:after="0" w:line="240" w:lineRule="auto"/>
            </w:pPr>
            <w:r>
              <w:rPr>
                <w:rFonts w:ascii="Arial" w:hAnsi="Arial" w:cs="Arial" w:eastAsia="Arial"/>
                <w:b w:val="0"/>
                <w:color w:val="666666"/>
                <w:sz w:val="13"/>
              </w:rPr>
              <w:t>education bills taken up, 2019–2025</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228</w:t>
            </w:r>
          </w:p>
          <w:p>
            <w:pPr>
              <w:spacing w:after="0" w:line="240" w:lineRule="auto"/>
            </w:pPr>
            <w:r>
              <w:rPr>
                <w:rFonts w:ascii="Arial" w:hAnsi="Arial" w:cs="Arial" w:eastAsia="Arial"/>
                <w:b w:val="0"/>
                <w:color w:val="666666"/>
                <w:sz w:val="13"/>
              </w:rPr>
              <w:t>became law</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3"/>
              </w:rPr>
              <w:t>40–0 / 21–0</w:t>
            </w:r>
          </w:p>
          <w:p>
            <w:pPr>
              <w:spacing w:after="0" w:line="240" w:lineRule="auto"/>
            </w:pPr>
            <w:r>
              <w:rPr>
                <w:rFonts w:ascii="Arial" w:hAnsi="Arial" w:cs="Arial" w:eastAsia="Arial"/>
                <w:b w:val="0"/>
                <w:color w:val="666666"/>
                <w:sz w:val="13"/>
              </w:rPr>
              <w:t>the floor votes on AB386 (2025), the literacy-assessment pilot that died awaiting one final concurrence vote</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55</w:t>
            </w:r>
          </w:p>
          <w:p>
            <w:pPr>
              <w:spacing w:after="0" w:line="240" w:lineRule="auto"/>
            </w:pPr>
            <w:r>
              <w:rPr>
                <w:rFonts w:ascii="Arial" w:hAnsi="Arial" w:cs="Arial" w:eastAsia="Arial"/>
                <w:b w:val="0"/>
                <w:color w:val="666666"/>
                <w:sz w:val="13"/>
              </w:rPr>
              <w:t>bills carried sponsors from both parties — 28 became law</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7</w:t>
            </w:r>
          </w:p>
          <w:p>
            <w:pPr>
              <w:spacing w:after="0" w:line="240" w:lineRule="auto"/>
            </w:pPr>
            <w:r>
              <w:rPr>
                <w:rFonts w:ascii="Arial" w:hAnsi="Arial" w:cs="Arial" w:eastAsia="Arial"/>
                <w:b w:val="0"/>
                <w:color w:val="666666"/>
                <w:sz w:val="13"/>
              </w:rPr>
              <w:t>outside-audit bills filed; none has yet received a vote</w:t>
            </w:r>
          </w:p>
        </w:tc>
      </w:tr>
    </w:tbl>
    <w:p>
      <w:pPr>
        <w:widowControl/>
        <w:spacing w:before="0" w:after="100" w:lineRule="auto" w:line="254"/>
      </w:pPr>
    </w:p>
    <w:p>
      <w:pPr>
        <w:widowControl/>
        <w:spacing w:before="100" w:after="50" w:lineRule="auto" w:line="254"/>
      </w:pPr>
      <w:r>
        <w:rPr>
          <w:rFonts w:ascii="Arial" w:hAnsi="Arial" w:cs="Arial" w:eastAsia="Arial"/>
          <w:b/>
          <w:color w:val="C0392B"/>
          <w:sz w:val="21"/>
          <w:spacing w:val="20"/>
        </w:rPr>
        <w:t>CLOSEST TO LAW: BILLS THAT PASSED BOTH CHAMBERS</w:t>
      </w:r>
    </w:p>
    <w:p>
      <w:pPr>
        <w:widowControl/>
        <w:spacing w:before="0" w:after="50" w:lineRule="auto" w:line="250"/>
      </w:pPr>
      <w:r>
        <w:rPr>
          <w:rFonts w:ascii="Arial" w:hAnsi="Arial" w:cs="Arial" w:eastAsia="Arial"/>
          <w:b w:val="0"/>
          <w:i/>
          <w:color w:val="666666"/>
          <w:sz w:val="15"/>
        </w:rPr>
        <w:t>These bills assembled majorities in both houses; only a veto or the session clock separated them from statute — the record's most advanced unfinished work.</w:t>
      </w:r>
    </w:p>
    <w:p>
      <w:pPr>
        <w:widowControl/>
        <w:spacing w:before="70" w:after="30" w:lineRule="auto" w:line="250"/>
      </w:pPr>
      <w:r>
        <w:rPr>
          <w:rFonts w:ascii="Arial" w:hAnsi="Arial" w:cs="Arial" w:eastAsia="Arial"/>
          <w:b/>
          <w:color w:val="2E4A78"/>
          <w:sz w:val="18"/>
        </w:rPr>
        <w:t>Passed both chambers, lost to the clock</w:t>
      </w:r>
    </w:p>
    <w:p>
      <w:pPr>
        <w:widowControl/>
        <w:spacing w:before="0" w:after="64" w:lineRule="auto" w:line="250"/>
        <w:jc w:val="both"/>
      </w:pPr>
      <w:r>
        <w:rPr>
          <w:rFonts w:ascii="Arial" w:hAnsi="Arial" w:cs="Arial" w:eastAsia="Arial"/>
          <w:b/>
          <w:color w:val="1A2D4F"/>
          <w:sz w:val="17"/>
        </w:rPr>
        <w:t>An alternative Read by Grade 3 assessment — AB386 (2025).</w:t>
      </w:r>
      <w:r>
        <w:rPr>
          <w:rFonts w:ascii="Arial" w:hAnsi="Arial" w:cs="Arial" w:eastAsia="Arial"/>
          <w:b w:val="0"/>
          <w:color w:val="444444"/>
          <w:sz w:val="17"/>
        </w:rPr>
        <w:t xml:space="preserve"> Let Washoe County pilot an alternative literacy assessment; passed the Assembly 40–0 and the Senate 21–0 as amended, then died awaiting a final concurrence vote at session's end. Two unanimous chambers make it the record's most advanced unfinished education bill.</w:t>
      </w:r>
    </w:p>
    <w:p>
      <w:pPr>
        <w:widowControl/>
        <w:spacing w:before="70" w:after="30" w:lineRule="auto" w:line="250"/>
      </w:pPr>
      <w:r>
        <w:rPr>
          <w:rFonts w:ascii="Arial" w:hAnsi="Arial" w:cs="Arial" w:eastAsia="Arial"/>
          <w:b/>
          <w:color w:val="2E4A78"/>
          <w:sz w:val="18"/>
        </w:rPr>
        <w:t>Vetoed at the governor's desk</w:t>
      </w:r>
    </w:p>
    <w:p>
      <w:pPr>
        <w:widowControl/>
        <w:spacing w:before="0" w:after="64" w:lineRule="auto" w:line="250"/>
        <w:jc w:val="both"/>
      </w:pPr>
      <w:r>
        <w:rPr>
          <w:rFonts w:ascii="Arial" w:hAnsi="Arial" w:cs="Arial" w:eastAsia="Arial"/>
          <w:b w:val="0"/>
          <w:color w:val="444444"/>
          <w:sz w:val="17"/>
        </w:rPr>
        <w:t xml:space="preserve">All 13 education vetoes fall in 2023 and 2025 and attach to specific designs: </w:t>
      </w:r>
      <w:r>
        <w:rPr>
          <w:rFonts w:ascii="Arial" w:hAnsi="Arial" w:cs="Arial" w:eastAsia="Arial"/>
          <w:b/>
          <w:color w:val="1A2D4F"/>
          <w:sz w:val="17"/>
        </w:rPr>
        <w:t>the statewide children's mental-health consortium (AB265, 2023)</w:t>
      </w:r>
      <w:r>
        <w:rPr>
          <w:rFonts w:ascii="Arial" w:hAnsi="Arial" w:cs="Arial" w:eastAsia="Arial"/>
          <w:b w:val="0"/>
          <w:color w:val="444444"/>
          <w:sz w:val="17"/>
        </w:rPr>
        <w:t xml:space="preserve">, vetoed after passing 42–0 and 20–0; </w:t>
      </w:r>
      <w:r>
        <w:rPr>
          <w:rFonts w:ascii="Arial" w:hAnsi="Arial" w:cs="Arial" w:eastAsia="Arial"/>
          <w:b/>
          <w:color w:val="1A2D4F"/>
          <w:sz w:val="17"/>
        </w:rPr>
        <w:t>the substitute-teacher insurance subsidy (AB282, 2023)</w:t>
      </w:r>
      <w:r>
        <w:rPr>
          <w:rFonts w:ascii="Arial" w:hAnsi="Arial" w:cs="Arial" w:eastAsia="Arial"/>
          <w:b w:val="0"/>
          <w:color w:val="444444"/>
          <w:sz w:val="17"/>
        </w:rPr>
        <w:t xml:space="preserve">, vetoed after 31–11 and 16–4; </w:t>
      </w:r>
      <w:r>
        <w:rPr>
          <w:rFonts w:ascii="Arial" w:hAnsi="Arial" w:cs="Arial" w:eastAsia="Arial"/>
          <w:b/>
          <w:color w:val="1A2D4F"/>
          <w:sz w:val="17"/>
        </w:rPr>
        <w:t>class-size collective bargaining (AB155, 2025)</w:t>
      </w:r>
      <w:r>
        <w:rPr>
          <w:rFonts w:ascii="Arial" w:hAnsi="Arial" w:cs="Arial" w:eastAsia="Arial"/>
          <w:b w:val="0"/>
          <w:color w:val="444444"/>
          <w:sz w:val="17"/>
        </w:rPr>
        <w:t>. Collective-bargaining, school-adjacent health, and library bills stop at the desk — several with proven majorities, one unanimous — while raises, audits, and funding acts are signed.</w:t>
      </w:r>
    </w:p>
    <w:p>
      <w:pPr>
        <w:widowControl/>
        <w:spacing w:before="100" w:after="50" w:lineRule="auto" w:line="254"/>
      </w:pPr>
      <w:r>
        <w:rPr>
          <w:rFonts w:ascii="Arial" w:hAnsi="Arial" w:cs="Arial" w:eastAsia="Arial"/>
          <w:b/>
          <w:color w:val="C0392B"/>
          <w:sz w:val="21"/>
          <w:spacing w:val="20"/>
        </w:rPr>
        <w:t>PROVEN SUPPORT: BILLS THAT CLEARED A CHAMBER OR A COMMITTEE</w:t>
      </w:r>
    </w:p>
    <w:p>
      <w:pPr>
        <w:widowControl/>
        <w:spacing w:before="0" w:after="50" w:lineRule="auto" w:line="250"/>
      </w:pPr>
      <w:r>
        <w:rPr>
          <w:rFonts w:ascii="Arial" w:hAnsi="Arial" w:cs="Arial" w:eastAsia="Arial"/>
          <w:b w:val="0"/>
          <w:i/>
          <w:color w:val="666666"/>
          <w:sz w:val="15"/>
        </w:rPr>
        <w:t>Each bill here won a recorded majority — in committee or on a floor — before stalling: the strongest signal short of passage.</w:t>
      </w:r>
    </w:p>
    <w:p>
      <w:pPr>
        <w:widowControl/>
        <w:spacing w:before="0" w:after="64" w:lineRule="auto" w:line="250"/>
        <w:jc w:val="both"/>
      </w:pPr>
      <w:r>
        <w:rPr>
          <w:rFonts w:ascii="Arial" w:hAnsi="Arial" w:cs="Arial" w:eastAsia="Arial"/>
          <w:b/>
          <w:color w:val="1A2D4F"/>
          <w:sz w:val="17"/>
        </w:rPr>
        <w:t>Measurement bills that won votes.</w:t>
      </w:r>
      <w:r>
        <w:rPr>
          <w:rFonts w:ascii="Arial" w:hAnsi="Arial" w:cs="Arial" w:eastAsia="Arial"/>
          <w:b w:val="0"/>
          <w:color w:val="444444"/>
          <w:sz w:val="17"/>
        </w:rPr>
        <w:t xml:space="preserve"> Competency-based education expansion (SB403, 2025) passed the Senate 21–0 and died in the second house. The social-emotional measurement bills, SB313 (2023) and SB314 (2025), cleared committee both times — carried by Senator Roberta Lange (D) with Senator Lisa Krasner (R), both still serving — and died on the Senate floor twice, never on a recorded vote against them.</w:t>
      </w:r>
    </w:p>
    <w:p>
      <w:pPr>
        <w:widowControl/>
        <w:spacing w:before="0" w:after="64" w:lineRule="auto" w:line="250"/>
        <w:jc w:val="both"/>
      </w:pPr>
      <w:r>
        <w:rPr>
          <w:rFonts w:ascii="Arial" w:hAnsi="Arial" w:cs="Arial" w:eastAsia="Arial"/>
          <w:b/>
          <w:color w:val="1A2D4F"/>
          <w:sz w:val="17"/>
        </w:rPr>
        <w:t>Full rights for appointed trustees — 2025.</w:t>
      </w:r>
      <w:r>
        <w:rPr>
          <w:rFonts w:ascii="Arial" w:hAnsi="Arial" w:cs="Arial" w:eastAsia="Arial"/>
          <w:b w:val="0"/>
          <w:color w:val="444444"/>
          <w:sz w:val="17"/>
        </w:rPr>
        <w:t xml:space="preserve"> The upgrade of AB175's four appointed nonvoting Clark County trustees to full voting rights with term limits passed the Assembly 24–18 and died in Senate Education. The base law, AB175 (2023), had passed 29–11 and 16–4 after appointed-seat bills died in committee in 2019, 2021, and 2023 — the idea has moved further each cycle.</w:t>
      </w:r>
    </w:p>
    <w:p>
      <w:pPr>
        <w:widowControl/>
        <w:spacing w:before="100" w:after="50" w:lineRule="auto" w:line="254"/>
      </w:pPr>
      <w:r>
        <w:rPr>
          <w:rFonts w:ascii="Arial" w:hAnsi="Arial" w:cs="Arial" w:eastAsia="Arial"/>
          <w:b/>
          <w:color w:val="C0392B"/>
          <w:sz w:val="21"/>
          <w:spacing w:val="20"/>
        </w:rPr>
        <w:t>ALREADY LAW — AND THE OPENINGS AROUND IT</w:t>
      </w:r>
    </w:p>
    <w:p>
      <w:pPr>
        <w:widowControl/>
        <w:spacing w:before="0" w:after="50" w:lineRule="auto" w:line="250"/>
      </w:pPr>
      <w:r>
        <w:rPr>
          <w:rFonts w:ascii="Arial" w:hAnsi="Arial" w:cs="Arial" w:eastAsia="Arial"/>
          <w:b w:val="0"/>
          <w:i/>
          <w:color w:val="666666"/>
          <w:sz w:val="15"/>
        </w:rPr>
        <w:t>Fresh statutes mark ground unlikely to be revisited soon — and the lanes where the Legislature keeps building.</w:t>
      </w:r>
    </w:p>
    <w:p>
      <w:pPr>
        <w:widowControl/>
        <w:spacing w:before="70" w:after="30" w:lineRule="auto" w:line="250"/>
      </w:pPr>
      <w:r>
        <w:rPr>
          <w:rFonts w:ascii="Arial" w:hAnsi="Arial" w:cs="Arial" w:eastAsia="Arial"/>
          <w:b/>
          <w:color w:val="2E4A78"/>
          <w:sz w:val="18"/>
        </w:rPr>
        <w:t>Recently settled ground (2025 session)</w:t>
      </w:r>
    </w:p>
    <w:p>
      <w:pPr>
        <w:widowControl/>
        <w:spacing w:before="0" w:after="64" w:lineRule="auto" w:line="250"/>
        <w:jc w:val="both"/>
      </w:pPr>
      <w:r>
        <w:rPr>
          <w:rFonts w:ascii="Arial" w:hAnsi="Arial" w:cs="Arial" w:eastAsia="Arial"/>
          <w:b w:val="0"/>
          <w:color w:val="444444"/>
          <w:sz w:val="17"/>
        </w:rPr>
        <w:t>The 2025 session funded extra pay for hard-to-fill positions (AB398, 20–0 and 41–1), let out-of-state teachers start work provisionally (AB49, 42–0 and 21–0), created principal consequences and a Public Education Oversight Board (SB460, 21–0 and 38–4), made the statewide assessment the sole Read by Grade 3 trigger (SB278, 42–0 and 21–0), required district cellphone policies (SB444, 42–0 and 21–0), banned AI from counselor duties (AB406), added school social workers where money allows (SB277, 38–1 and 15–5), bonded $100 million for emergency school repairs (AB224, 41–1 and 21–0), opened cross-zone transfers with transportation grants (AB533), and passed the biennium funding act (SB500, 42–0 and 13–8). Bills restating these would duplicate just-completed work and are unlikely to advance.</w:t>
      </w:r>
    </w:p>
    <w:p>
      <w:pPr>
        <w:widowControl/>
        <w:spacing w:before="70" w:after="30" w:lineRule="auto" w:line="250"/>
      </w:pPr>
      <w:r>
        <w:rPr>
          <w:rFonts w:ascii="Arial" w:hAnsi="Arial" w:cs="Arial" w:eastAsia="Arial"/>
          <w:b/>
          <w:color w:val="2E4A78"/>
          <w:sz w:val="18"/>
        </w:rPr>
        <w:t>Where the record points further</w:t>
      </w:r>
    </w:p>
    <w:p>
      <w:pPr>
        <w:widowControl/>
        <w:spacing w:before="0" w:after="64" w:lineRule="auto" w:line="250"/>
        <w:jc w:val="both"/>
      </w:pPr>
      <w:r>
        <w:rPr>
          <w:rFonts w:ascii="Arial" w:hAnsi="Arial" w:cs="Arial" w:eastAsia="Arial"/>
          <w:b w:val="0"/>
          <w:color w:val="444444"/>
          <w:sz w:val="17"/>
        </w:rPr>
        <w:t>The accountability lane is widening, not closing: AB517 (2023) ordered recurring legislative performance audits of the two biggest districts and the charter authority, 42–0 and 21–0, first audits due in 2026, and SB460's new oversight board gives future accountability proposals a statutory home. Principal accountability is law twice over (SB292 of 2023, 21–0 and 39–3; SB460). Nevada's ratings already include a growth component — the failed bills changed its weight, not its existence — and testing has been trimmed twice (SB353 of 2021, capping test time, 42–0 and 21–0; SB9 of 2023, ending end-of-course finals). The teacher pipeline keeps passing near-unanimously: the Interstate Teacher Mobility Compact (SB442, 2023), paid teaching-pathway grants (AB515, AB428, 2023), provisional hiring (AB49), raise funding (SB231 of 2023, 21–0 and 41–1). Pre-K investment is solid precedent — the state grant program (SB84, 2019, 41–0 and 20–0), the early-literacy account (AB400, 2023), family engagement extended in 2025 (AB212, 38–4 and 21–0) — with seats growing through the budget. The funding machinery itself was rebuilt inside this record: SB543 (2019, 18–3 and 34–7), SB439 (2021), the mining tax routed to education (AB495, 2021, 28–14 and 16–5), the biennium acts (SB503, SB500), and the statutory Commission on School Funding charged with calculating what full funding would take. AB289 (2019) removed automatic third-grade retention, 28–11 and 17–4 — no bill since has proposed reinstating it, and when the 2020 special session's COVID budget act cut the program's $31.4 million second-year transfer, it listed that money among the first accounts to restore.</w:t>
      </w:r>
    </w:p>
    <w:p>
      <w:pPr>
        <w:widowControl/>
        <w:spacing w:before="100" w:after="50" w:lineRule="auto" w:line="254"/>
      </w:pPr>
      <w:r>
        <w:rPr>
          <w:rFonts w:ascii="Arial" w:hAnsi="Arial" w:cs="Arial" w:eastAsia="Arial"/>
          <w:b/>
          <w:color w:val="C0392B"/>
          <w:sz w:val="21"/>
          <w:spacing w:val="20"/>
        </w:rPr>
        <w:t>ROUTES WITH LITTLE TRACTION: NEVER FILED OR STOPPED EARLY</w:t>
      </w:r>
    </w:p>
    <w:p>
      <w:pPr>
        <w:widowControl/>
        <w:spacing w:before="0" w:after="50" w:lineRule="auto" w:line="250"/>
      </w:pPr>
      <w:r>
        <w:rPr>
          <w:rFonts w:ascii="Arial" w:hAnsi="Arial" w:cs="Arial" w:eastAsia="Arial"/>
          <w:b w:val="0"/>
          <w:i/>
          <w:color w:val="666666"/>
          <w:sz w:val="15"/>
        </w:rPr>
        <w:t>Nothing here has won a vote — never filed, never heard in committee, or stopped early. The least-traveled routes: unproven rather than closed.</w:t>
      </w:r>
    </w:p>
    <w:p>
      <w:pPr>
        <w:widowControl/>
        <w:spacing w:before="0" w:after="64" w:lineRule="auto" w:line="250"/>
        <w:jc w:val="both"/>
      </w:pPr>
      <w:r>
        <w:rPr>
          <w:rFonts w:ascii="Arial" w:hAnsi="Arial" w:cs="Arial" w:eastAsia="Arial"/>
          <w:b/>
          <w:color w:val="1A2D4F"/>
          <w:sz w:val="17"/>
        </w:rPr>
        <w:t>An outside audit of school spending.</w:t>
      </w:r>
      <w:r>
        <w:rPr>
          <w:rFonts w:ascii="Arial" w:hAnsi="Arial" w:cs="Arial" w:eastAsia="Arial"/>
          <w:b w:val="0"/>
          <w:color w:val="444444"/>
          <w:sz w:val="17"/>
        </w:rPr>
        <w:t xml:space="preserve"> Filed seven times in four sessions, never a vote: AB146 and AB296 (2019), AB108 (2021), AB149 — an Inspector General of Education — and AB353 (2023), AB33 and AB154 (2025), plus the oversight committee AB395 (2023). Assemblymember Brittney Miller (D), still serving, carried it four sessions running; a Republican version died the same way. The traction is inside government: AB517's unanimous audits, and the six-year outside-consultant reviews already in law — which a 2025 repeal bill failed to remove.</w:t>
      </w:r>
    </w:p>
    <w:p>
      <w:pPr>
        <w:widowControl/>
        <w:spacing w:before="0" w:after="64" w:lineRule="auto" w:line="250"/>
        <w:jc w:val="both"/>
      </w:pPr>
      <w:r>
        <w:rPr>
          <w:rFonts w:ascii="Arial" w:hAnsi="Arial" w:cs="Arial" w:eastAsia="Arial"/>
          <w:b/>
          <w:color w:val="1A2D4F"/>
          <w:sz w:val="17"/>
        </w:rPr>
        <w:t>Recess and instructional minutes.</w:t>
      </w:r>
      <w:r>
        <w:rPr>
          <w:rFonts w:ascii="Arial" w:hAnsi="Arial" w:cs="Arial" w:eastAsia="Arial"/>
          <w:b w:val="0"/>
          <w:color w:val="444444"/>
          <w:sz w:val="17"/>
        </w:rPr>
        <w:t xml:space="preserve"> AB53 (2025) — 20 minutes of daily outdoor recess in K-5 and a ban on withholding it — died in Assembly Education without a vote; the PE-content bill (SB182, 2021) and a fourth social-studies credit (AB228, 2023) also stalled. When leadership backs a content mandate it passes nearly unanimously (financial literacy, AB274 of 2023, 40–0 and 20–0; the 2025 cellphone rules).</w:t>
      </w:r>
    </w:p>
    <w:p>
      <w:pPr>
        <w:widowControl/>
        <w:spacing w:before="0" w:after="64" w:lineRule="auto" w:line="250"/>
        <w:jc w:val="both"/>
      </w:pPr>
      <w:r>
        <w:rPr>
          <w:rFonts w:ascii="Arial" w:hAnsi="Arial" w:cs="Arial" w:eastAsia="Arial"/>
          <w:b/>
          <w:color w:val="1A2D4F"/>
          <w:sz w:val="17"/>
        </w:rPr>
        <w:t>Growth-weighted ratings and the money guarantees.</w:t>
      </w:r>
      <w:r>
        <w:rPr>
          <w:rFonts w:ascii="Arial" w:hAnsi="Arial" w:cs="Arial" w:eastAsia="Arial"/>
          <w:b w:val="0"/>
          <w:color w:val="444444"/>
          <w:sz w:val="17"/>
        </w:rPr>
        <w:t xml:space="preserve"> SB351 (2025), double-weighting the growth of the lowest-scoring pupils, died in Senate Education without a vote. AB459 (2023), requiring the education budget to keep pace with inflation plus enrollment, died in Ways and Means, as did its 2025 successor in Finance; SB58 (2025), widening pre-K grant eligibility, died in Senate Finance; the $45,000 minimum teacher salary (SB445, 2019, Republican-sponsored) and the grade-3 class-size cap (AB335, 2023) died in committee. Early-childhood offices failed on the Assembly floor in 2023 (AB113) and in committee in 2025 (SB82).</w:t>
      </w:r>
    </w:p>
    <w:p>
      <w:pPr>
        <w:widowControl/>
        <w:spacing w:before="0" w:after="64" w:lineRule="auto" w:line="250"/>
        <w:jc w:val="both"/>
      </w:pPr>
      <w:r>
        <w:rPr>
          <w:rFonts w:ascii="Arial" w:hAnsi="Arial" w:cs="Arial" w:eastAsia="Arial"/>
          <w:b/>
          <w:color w:val="1A2D4F"/>
          <w:sz w:val="17"/>
        </w:rPr>
        <w:t>Never filed at all.</w:t>
      </w:r>
      <w:r>
        <w:rPr>
          <w:rFonts w:ascii="Arial" w:hAnsi="Arial" w:cs="Arial" w:eastAsia="Arial"/>
          <w:b w:val="0"/>
          <w:color w:val="444444"/>
          <w:sz w:val="17"/>
        </w:rPr>
        <w:t xml:space="preserve"> No bill requires independent proof of learning benefit before districts buy classroom technology or limits early-grade screen time — the nearest transparency bill, SB248 (2025), died in Senate Education, and the ed-tech commission was abolished in 2023 (SB214). No bill proposes pre-K for all children or touches superintendent pay; the $485,000 contracts are signed by elected boards. The three-cueing instruction ban (AB187, 2023) died in committee, as did the bills making counselor staffing unconditional (AB298, 2025) and mandating monthly mental-health workshops (AB374, 2025).</w:t>
      </w:r>
    </w:p>
    <w:p>
      <w:pPr>
        <w:widowControl/>
        <w:spacing w:before="100" w:after="50" w:lineRule="auto" w:line="254"/>
      </w:pPr>
      <w:r>
        <w:rPr>
          <w:rFonts w:ascii="Arial" w:hAnsi="Arial" w:cs="Arial" w:eastAsia="Arial"/>
          <w:b/>
          <w:color w:val="C0392B"/>
          <w:sz w:val="21"/>
          <w:spacing w:val="20"/>
        </w:rPr>
        <w:t>MOMENTUM MAP: ACTIVE FRONTS AND QUIET FRONTS</w:t>
      </w:r>
    </w:p>
    <w:p>
      <w:pPr>
        <w:widowControl/>
        <w:spacing w:before="0" w:after="50" w:lineRule="auto" w:line="250"/>
      </w:pPr>
      <w:r>
        <w:rPr>
          <w:rFonts w:ascii="Arial" w:hAnsi="Arial" w:cs="Arial" w:eastAsia="Arial"/>
          <w:b w:val="0"/>
          <w:i/>
          <w:color w:val="666666"/>
          <w:sz w:val="15"/>
        </w:rPr>
        <w:t>Where bills keep appearing and advancing — and where the Legislature has not yet shown willingness to legislate.</w:t>
      </w:r>
    </w:p>
    <w:p>
      <w:pPr>
        <w:widowControl/>
        <w:spacing w:before="0" w:after="64" w:lineRule="auto" w:line="250"/>
        <w:jc w:val="both"/>
      </w:pPr>
      <w:r>
        <w:rPr>
          <w:rFonts w:ascii="Arial" w:hAnsi="Arial" w:cs="Arial" w:eastAsia="Arial"/>
          <w:b/>
          <w:color w:val="1A2D4F"/>
          <w:sz w:val="17"/>
        </w:rPr>
        <w:t>Active:</w:t>
      </w:r>
      <w:r>
        <w:rPr>
          <w:rFonts w:ascii="Arial" w:hAnsi="Arial" w:cs="Arial" w:eastAsia="Arial"/>
          <w:b w:val="0"/>
          <w:color w:val="444444"/>
          <w:sz w:val="17"/>
        </w:rPr>
        <w:t xml:space="preserve"> teacher pay and pipeline (funded or eased every recent session); administrator accountability (two laws and a new oversight board); funding and facilities (formula rebuilt, mining tax added, $100 million bonded); measurement trimming (test time capped, finals ended, trigger consolidated); mental-health staffing frameworks (SB319 of 2019, 41–0 and 21–0; SB151 of 2021; SB277 of 2025). </w:t>
      </w:r>
      <w:r>
        <w:rPr>
          <w:rFonts w:ascii="Arial" w:hAnsi="Arial" w:cs="Arial" w:eastAsia="Arial"/>
          <w:b/>
          <w:color w:val="1A2D4F"/>
          <w:sz w:val="17"/>
        </w:rPr>
        <w:t>Quiet:</w:t>
      </w:r>
      <w:r>
        <w:rPr>
          <w:rFonts w:ascii="Arial" w:hAnsi="Arial" w:cs="Arial" w:eastAsia="Arial"/>
          <w:b w:val="0"/>
          <w:color w:val="444444"/>
          <w:sz w:val="17"/>
        </w:rPr>
        <w:t xml:space="preserve"> the outside-audit design (seven bills, no vote yet); recess and instructional-minute mandates; superintendent pay (never touched by any bill); universal pre-K as an entitlement; ed-tech purchasing standards (never filed); and the unconditional versions of staffing mandates, which die in committee while the money-permitting versions pass.</w:t>
      </w:r>
    </w:p>
    <w:p>
      <w:pPr>
        <w:widowControl/>
        <w:spacing w:before="100" w:after="50" w:lineRule="auto" w:line="254"/>
      </w:pPr>
      <w:r>
        <w:rPr>
          <w:rFonts w:ascii="Arial" w:hAnsi="Arial" w:cs="Arial" w:eastAsia="Arial"/>
          <w:b/>
          <w:color w:val="C0392B"/>
          <w:sz w:val="21"/>
          <w:spacing w:val="20"/>
        </w:rPr>
        <w:t>FEDERAL OVERLAP: WHAT IS ALREADY ADDRESSED OUTSIDE CARSON CITY</w:t>
      </w:r>
    </w:p>
    <w:p>
      <w:pPr>
        <w:widowControl/>
        <w:spacing w:before="0" w:after="50" w:lineRule="auto" w:line="250"/>
      </w:pPr>
      <w:r>
        <w:rPr>
          <w:rFonts w:ascii="Arial" w:hAnsi="Arial" w:cs="Arial" w:eastAsia="Arial"/>
          <w:b w:val="0"/>
          <w:i/>
          <w:color w:val="666666"/>
          <w:sz w:val="15"/>
        </w:rPr>
        <w:t>Where federal action already covers ground, a state bill duplicates it — or collides with it; where none exists, the state route is the only one.</w:t>
      </w:r>
    </w:p>
    <w:p>
      <w:pPr>
        <w:widowControl/>
        <w:spacing w:before="0" w:after="64" w:lineRule="auto" w:line="250"/>
        <w:jc w:val="both"/>
      </w:pPr>
      <w:r>
        <w:rPr>
          <w:rFonts w:ascii="Arial" w:hAnsi="Arial" w:cs="Arial" w:eastAsia="Arial"/>
          <w:b w:val="0"/>
          <w:color w:val="444444"/>
          <w:sz w:val="17"/>
        </w:rPr>
        <w:t>The federal Every Student Succeeds Act requires annual statewide testing in grades 3–8 and once in high school — dropping the statewide assessment would collide with it — but ESSA allows growth-based accountability, so designs like SB351 are federally permitted. Districts that spend federal money already undergo annual federal single audits, which the outside-IG proposals would extend rather than duplicate. Pupil-data privacy is federally covered (FERPA and COPPA — the ground SB403 of 2019 built on); no federal rule sets an efficacy standard for classroom-technology purchases. Head Start is the federal pre-K program for low-income families; universal federal pre-K has been proposed, never enacted. There is no federal recess, class-size, or teacher-salary mandate — congressional minimum-salary proposals have not passed — though federal loan-forgiveness programs for teachers already exist.</w:t>
      </w:r>
    </w:p>
    <w:p>
      <w:pPr>
        <w:widowControl/>
        <w:spacing w:before="100" w:after="50" w:lineRule="auto" w:line="254"/>
      </w:pPr>
      <w:r>
        <w:rPr>
          <w:rFonts w:ascii="Arial" w:hAnsi="Arial" w:cs="Arial" w:eastAsia="Arial"/>
          <w:b/>
          <w:color w:val="C0392B"/>
          <w:sz w:val="21"/>
          <w:spacing w:val="20"/>
        </w:rPr>
        <w:t>SPONSORS, COMMITTEES, AND WHO STILL SERVES</w:t>
      </w:r>
    </w:p>
    <w:p>
      <w:pPr>
        <w:widowControl/>
        <w:spacing w:before="0" w:after="50" w:lineRule="auto" w:line="250"/>
      </w:pPr>
      <w:r>
        <w:rPr>
          <w:rFonts w:ascii="Arial" w:hAnsi="Arial" w:cs="Arial" w:eastAsia="Arial"/>
          <w:b w:val="0"/>
          <w:i/>
          <w:color w:val="666666"/>
          <w:sz w:val="15"/>
        </w:rPr>
        <w:t>Who has carried these bills, where bills stop, and which authors remain in the Legislature.</w:t>
      </w:r>
    </w:p>
    <w:p>
      <w:pPr>
        <w:widowControl/>
        <w:spacing w:before="0" w:after="64" w:lineRule="auto" w:line="250"/>
        <w:jc w:val="both"/>
      </w:pPr>
      <w:r>
        <w:rPr>
          <w:rFonts w:ascii="Arial" w:hAnsi="Arial" w:cs="Arial" w:eastAsia="Arial"/>
          <w:b w:val="0"/>
          <w:color w:val="444444"/>
          <w:sz w:val="17"/>
        </w:rPr>
        <w:t>Senate Education members of both parties carry the heaviest loads, most still in office: Senator Marilyn Dondero Loop (D), the most frequent primary sponsor (37 bills), and Senator Carrie Buck (R, 31) are current members; Senator Scott Hammond (R, 31, mostly choice bills that died in committee) left after 2023. Assemblymembers Brittney Miller (D, the auditor file) and Selena Torres-Fossett (D, the teacher pipeline) still serve, as do Senators Roberta Lange (D) and Lisa Krasner (R), the measurement team. The chokepoints: Education committees stopped 127 bills at the first stop, the money committees 40 — mostly bills with price tags — Government Affairs 12, including most inspector-general designs.</w:t>
      </w:r>
    </w:p>
    <w:p>
      <w:pPr>
        <w:widowControl/>
        <w:spacing w:before="160" w:after="0" w:lineRule="auto" w:line="254"/>
        <w:pBdr>
          <w:top w:val="single" w:sz="6" w:space="4" w:color="C8CDD6"/>
        </w:pBdr>
      </w:pPr>
      <w:r>
        <w:rPr>
          <w:rFonts w:ascii="Arial" w:hAnsi="Arial" w:cs="Arial" w:eastAsia="Arial"/>
          <w:b w:val="0"/>
          <w:color w:val="666666"/>
          <w:sz w:val="14"/>
          <w:spacing w:val="12"/>
        </w:rPr>
        <w:t>FULL BILL-BY-BILL DETAIL, VOTES, SPONSORS,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