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spacing w:before="0" w:after="20" w:lineRule="auto" w:line="254"/>
      </w:pPr>
      <w:r>
        <w:rPr>
          <w:rFonts w:ascii="Arial" w:hAnsi="Arial" w:cs="Arial" w:eastAsia="Arial"/>
          <w:b/>
          <w:color w:val="1A2D4F"/>
          <w:sz w:val="20"/>
          <w:spacing w:val="20"/>
        </w:rPr>
        <w:t>T H E   F O R U M</w:t>
      </w:r>
    </w:p>
    <w:p>
      <w:pPr>
        <w:widowControl/>
        <w:spacing w:before="0" w:after="120" w:lineRule="auto" w:line="254"/>
        <w:pBdr>
          <w:bottom w:val="single" w:sz="20" w:space="2" w:color="1A2D4F"/>
        </w:pBdr>
      </w:pPr>
    </w:p>
    <w:p>
      <w:pPr>
        <w:widowControl/>
        <w:spacing w:before="0" w:after="40" w:lineRule="auto" w:line="252"/>
      </w:pPr>
      <w:r>
        <w:rPr>
          <w:rFonts w:ascii="Arial" w:hAnsi="Arial" w:cs="Arial" w:eastAsia="Arial"/>
          <w:b/>
          <w:color w:val="1A2D4F"/>
          <w:sz w:val="36"/>
        </w:rPr>
        <w:t>Policy Spotlights — Rising Cost of Living Brief</w:t>
      </w:r>
    </w:p>
    <w:p>
      <w:pPr>
        <w:widowControl/>
        <w:spacing w:before="0" w:after="120" w:lineRule="auto" w:line="254"/>
      </w:pPr>
      <w:r>
        <w:rPr>
          <w:rFonts w:ascii="Arial" w:hAnsi="Arial" w:cs="Arial" w:eastAsia="Arial"/>
          <w:b w:val="0"/>
          <w:color w:val="444444"/>
          <w:sz w:val="20"/>
        </w:rPr>
        <w:t>A focused, bill-by-bill look at how far each Phase 2 cost-of-living proposal has traveled in the General Assembly, 2019–2026. Each proposal is sorted into the same viability groups the brief uses — already law, proven support, stopped early, never filed — so the brief shows the overall terrain and these spotlights show one proposal at a time. Proposals are Forum process input from the Phase 2 Community Conversations, labeled [P-…].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UTILITY-RATE TRANSPARENCY AND LEGISLATOR–UTILITY FINANCIAL TIES [P-UTILITY-TRANSPARENCY]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The House passed the accountability bills four times, 438–1 combined; Senate Judiciary never took one up. What became law is oversight structure.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(oversight structure, not the money-ties ban)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H3194 (Act 90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rebuilt Santee Cooper's board and put its rates under Public Service Commission review for the first time; 89–26 and 44–1.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S271 / H4402 (Acts 74 and 75 of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restarted the PSC elections that had been on hold while commissioners served expired terms; 40–0 / 110–0 and 44–0.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H3309 (Act 41 of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Energy Security Act — customers may testify as public witnesses in rate cases, with schedules and deadlines for rate proceedings; 94–11 and 38–3.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S51 (Act 73 of 2025):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proposals process for finishing the V.C. Summer reactors; 43–0 and 111–0. The PSC's Santee Cooper oversight is funded by budget proviso (72.3), not permanent law.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S996 (Act 181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reopened and extended PSC candidate screening for four seats; 37–0 and 78–32.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Proven support (passed the House; died in Senate Judiciary without a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H4260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Ratepayer Protection Act — no utility campaign contributions, meals, or anything of value to the legislators' panel that screens PSC candidates; whistleblower protections; regulator conflict-of-interest rules. House 105–1.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H4776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ban on former PSC members working for utilities stretched from one year to three. House 101–0.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H4149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whistleblower protections refiled alone. House 118–0.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H3614 (2023):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same whistleblower core. House 114–0.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PSC restructuring: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S779 and S909 (2024) — shrink the commission to five seats, require published reasons for decisions on deadline.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Screening and conduct rules: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H3641, H3642, H4194, H4809, S947 (2019); S344 (2021) and S218 (2023) — rate-increase freezes during emergencies.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Public election of the PSC:</w:t>
      </w:r>
      <w:r>
        <w:rPr>
          <w:rFonts w:ascii="Arial" w:hAnsi="Arial" w:cs="Arial" w:eastAsia="Arial"/>
          <w:b w:val="0"/>
          <w:color w:val="444444"/>
          <w:sz w:val="20"/>
        </w:rPr>
        <w:t xml:space="preserve"> H4531 (2019).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Citizen oversight: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H5283 (2026, a Utility Citizens Council funded by the utilities) and H5282 (2026, PSC approval before billing-practice changes).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A utility-specific financial-disclosure duty for legislators themselves. Legislators file annual Statements of Economic Interests under the ethics law, but no bill in this record adds a utility-specific disclosure; every filed approach regulated the utilities' side of the relationship instead.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OPEN THE UTILITY MARKET / END THE MONOPOLY [P-UTILITY-COMPETITION]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Officially studied in 2020; every bill that would actually open the market was filed in 2026 and died without a vote.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(a study, not a market change)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H4940 (Act 187 of 2020):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created the Electricity Market Reform Measures Study Committee with an independent expert consultant; House 81–31 (the most contested vote of any enacted bill in this set), Senate 41–0.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H5439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Electric Retail Choice Act — households and small businesses choose their generation supplier, with PSC permits and plain-language price disclosures.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H5440 / S878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third-party electric suppliers for eligible customers over the incumbent utility's wires, with the customer arranging transmission.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H5525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PSC oversight of electric co-ops' wholesale power contracts and rates ("wholesale market access").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H3344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businesses could take service from a supplier outside their assigned territory.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S439 (2021):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Santee Cooper forced to sell its power plants by 2025 and hand transmission to a regional grid operator.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S998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Senate version of the market-reform study.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Nearby floor signal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S12 (2025-26):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Santee Cooper co-owning plants with private utilities — the record's closest utility floor vote, second reading 25–18, then recommitted to Senate Judiciary and never revived.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A straight repeal of exclusive service territories. The 2026 bills all route choice through PSC permits and incumbent wires rather than abolishing territories outright.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PERSONAL BUDGETING AND FINANCIAL EDUCATION [P-FINANCIAL-EDUCATION]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The one proposal that is already policy — delivered by a budget proviso and a regulation after the bills fell short.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 / in force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FY 2022-23 budget proviso 1.101:</w:t>
      </w:r>
      <w:r>
        <w:rPr>
          <w:rFonts w:ascii="Arial" w:hAnsi="Arial" w:cs="Arial" w:eastAsia="Arial"/>
          <w:b w:val="0"/>
          <w:color w:val="444444"/>
          <w:sz w:val="20"/>
        </w:rPr>
        <w:t xml:space="preserve"> ordered the State Board of Education to write a required half-credit in personal finance into the graduation rules.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Regulation 43-234 (Document 5130), effective May 26, 2023: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requirement itself. Every student entering ninth grade from fall 2023 — the Class of 2027 first — must earn the half-credit to graduate. The approval resolution (S732, 2023) stalled in committee, but the regulation took effect under the state's regulation-review clock anyway.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Section 59-29-410 (since 2005):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standing financial-literacy instruction statute the bills below tried to expand.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Proven support (passed a chamber or both; never enacted as a bill)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S16 (2021-22):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personal finance coursework required for graduation in place of the economics requirement; Senate 44–1 and House 109–0 in differing versions; died in conference.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H3199 (2019-20):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added student-loan, credit, and repayment topics to the required program; House 102–10; died in Senate Education.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S15 (2019):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half-credit requirement with an end-of-year test — favorable committee report, died on the Senate calendar.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H4149 (2019), H3116 (2021), S405 (2021):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graduation-requirement refiles.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H3022 (2021), H4582 (2021):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more required topics and life skills for the existing program.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Anything on financial education for adults — every bill in this record is about high school students. (The Community Conversations' own caution also stands: education does not lower prices.)</w:t>
      </w:r>
    </w:p>
    <w:p>
      <w:pPr>
        <w:widowControl/>
        <w:spacing w:before="84" w:after="36" w:lineRule="auto" w:line="254"/>
      </w:pPr>
      <w:r>
        <w:rPr>
          <w:rFonts w:ascii="Arial" w:hAnsi="Arial" w:cs="Arial" w:eastAsia="Arial"/>
          <w:b/>
          <w:color w:val="C0392B"/>
          <w:sz w:val="25"/>
          <w:spacing w:val="20"/>
        </w:rPr>
        <w:t>REDUCE OR ELIMINATE PROPERTY AND VEHICLE TAXES [P-REDUCE-PROPERTY-VEHICLE-TAXES]</w:t>
      </w:r>
    </w:p>
    <w:p>
      <w:pPr>
        <w:widowControl/>
        <w:spacing w:before="0" w:after="60" w:lineRule="auto" w:line="276"/>
      </w:pPr>
      <w:r>
        <w:rPr>
          <w:rFonts w:ascii="Arial" w:hAnsi="Arial" w:cs="Arial" w:eastAsia="Arial"/>
          <w:b w:val="0"/>
          <w:i/>
          <w:color w:val="666666"/>
          <w:sz w:val="20"/>
        </w:rPr>
        <w:t>Eighty bills; the wins are narrow and near-unanimous, and the biggest recent relief is one-year budget relief.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Already law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S866 (Act 228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Municipal Tax Relief Act — certain cities may ask voters to approve up to a 1% sales tax that funds property tax credits on owner-occupied homes; 32–9 and 96–16.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H3116 (Act 116 of 2024):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disabled veterans (and qualifying surviving spouses) get the exemption the year disability occurs; 111–0 and 45–0.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H3841 (Act 140 of 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a home keeps its 4% rate and exemptions while the owner's estate settles; 107–0 and 43–0.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S233 (Act 236 of 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homestead exemption extended to qualifying surviving spouses and heirs' property; local "service fees" must benefit those who pay them; 40–0 and 107–4.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H3482 (Act 69 of 2021):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counties may offer installment property-tax payment schedules; 110–0 and 45–0.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H3630 (Act 96 of 2019):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penalty delay for federal workers in the 2019 shutdown; Senate 40–0.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In the budget:</w:t>
      </w:r>
      <w:r>
        <w:rPr>
          <w:rFonts w:ascii="Arial" w:hAnsi="Arial" w:cs="Arial" w:eastAsia="Arial"/>
          <w:b w:val="0"/>
          <w:color w:val="444444"/>
          <w:sz w:val="20"/>
        </w:rPr>
        <w:t xml:space="preserve"> FY 2026-27 proviso 117.220 (extra $25,000 homestead exemption, state-reimbursed) and provisos 117.208/117.191 (income tax rate cut in effect ahead of the statute's triggers).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Proven support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S768 (2026):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homestead exemption to $100,000 and eligibility age down to 60; Senate 44–0; died in House Ways and Means — the only broad exemption increase ever to pass a chamber.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H4880 (2022):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the House's income tax cut (top rate to 6%); House 112–0; died in Senate Finance as the Senate's version (S1087, Act 228 of 2022) became the law.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Stopped early (died in first committee, no recorded vote)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Eliminate property taxes entirely:</w:t>
      </w:r>
      <w:r>
        <w:rPr>
          <w:rFonts w:ascii="Arial" w:hAnsi="Arial" w:cs="Arial" w:eastAsia="Arial"/>
          <w:b w:val="0"/>
          <w:color w:val="444444"/>
          <w:sz w:val="20"/>
        </w:rPr>
        <w:t xml:space="preserve"> H3378 (2025) — all property, with dollar-for-dollar state reimbursement to local governments.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Homestead exemption increases (a selection of 35 bills):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to $75,000 (S910, 2019), to $100,000 (H3127, 2023), to the home's full value (H3687, 2019; H4197, 2021), greater-of formulas (H5264, 2023; H3380, 2025), new groups (deaf taxpayers: S1027, 2021; S433, 2023), refiled by the half-dozen in 2025-26 (H3419, H3427, H3511, H3742, H4599, H4690, S223).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Full senior exemptions: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exempt the entire home at 65 (H3736, 2019), at 70 (S565, H4818, S12 refilings), at 80 (H3122, H3386, H3086); the Property Tax Relief for Seniors Act (H3424, 2025: up to $1 million of value, funded by a new sales tax).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Vehicle and boat taxes (13 bills, zero votes):</w:t>
      </w:r>
      <w:r>
        <w:rPr>
          <w:rFonts w:ascii="Arial" w:hAnsi="Arial" w:cs="Arial" w:eastAsia="Arial"/>
          <w:b w:val="0"/>
          <w:color w:val="444444"/>
          <w:sz w:val="20"/>
        </w:rPr>
        <w:t xml:space="preserve"> one car exempt for seniors (H5014, 2026); disabled veterans' vehicles (H4564, S943); disabled first responders (H4511, H3410); service members posted out of state (S1018); guardians (H4138); boats taxed where kept (S38); no double billing in twelve months (H5111). Two bills (H3385, H3085) would have barred treasurers from refusing your car-tax payment because you owe on something else.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/>
          <w:color w:val="1A2D4F"/>
          <w:sz w:val="20"/>
        </w:rPr>
        <w:t>Valuation changes:</w:t>
      </w:r>
      <w:r>
        <w:rPr>
          <w:rFonts w:ascii="Arial" w:hAnsi="Arial" w:cs="Arial" w:eastAsia="Arial"/>
          <w:b w:val="0"/>
          <w:color w:val="444444"/>
          <w:sz w:val="20"/>
        </w:rPr>
        <w:t xml:space="preserve"> constitutional amendments to redefine fair market value and remove the 15% reassessment cap (H3626, H3671, H3809); delay all reassessments to 2026 (H4910).</w:t>
      </w:r>
    </w:p>
    <w:p>
      <w:pPr>
        <w:widowControl/>
        <w:spacing w:before="70" w:after="30" w:lineRule="auto" w:line="250"/>
      </w:pPr>
      <w:r>
        <w:rPr>
          <w:rFonts w:ascii="Arial" w:hAnsi="Arial" w:cs="Arial" w:eastAsia="Arial"/>
          <w:b/>
          <w:color w:val="2E4A78"/>
          <w:sz w:val="24"/>
        </w:rPr>
        <w:t>Never filed</w:t>
      </w:r>
    </w:p>
    <w:p>
      <w:pPr>
        <w:widowControl/>
        <w:spacing w:before="0" w:after="80" w:lineRule="auto" w:line="276"/>
        <w:ind w:left="200"/>
      </w:pPr>
      <w:r>
        <w:rPr>
          <w:rFonts w:ascii="Arial" w:hAnsi="Arial" w:cs="Arial" w:eastAsia="Arial"/>
          <w:b w:val="0"/>
          <w:color w:val="C0392B"/>
          <w:sz w:val="20"/>
        </w:rPr>
        <w:t xml:space="preserve">▪  </w:t>
      </w:r>
      <w:r>
        <w:rPr>
          <w:rFonts w:ascii="Arial" w:hAnsi="Arial" w:cs="Arial" w:eastAsia="Arial"/>
          <w:b w:val="0"/>
          <w:color w:val="444444"/>
          <w:sz w:val="20"/>
        </w:rPr>
        <w:t>Statewide elimination of the vehicle property tax. Every vehicle bill is a targeted exemption; none ends the tax.</w:t>
      </w:r>
    </w:p>
    <w:sectPr w:rsidR="00FC693F" w:rsidRPr="0006063C" w:rsidSect="00034616">
      <w:footerReference w:type="default" r:id="rId9"/>
      <w:pgSz w:w="12240" w:h="15840"/>
      <w:pgMar w:top="864" w:right="864" w:bottom="864" w:left="864" w:header="72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12" w:val="right"/>
      </w:tabs>
    </w:pPr>
    <w:r/>
    <w:r>
      <w:rPr>
        <w:rFonts w:ascii="Arial" w:hAnsi="Arial" w:cs="Arial" w:eastAsia="Arial"/>
        <w:b w:val="0"/>
        <w:i/>
        <w:color w:val="666666"/>
        <w:sz w:val="16"/>
      </w:rPr>
      <w:t>SC1 Rising Cost of Living Policy Spotlights v2.0</w:t>
      <w:tab/>
    </w:r>
    <w:fldSimple w:instr=" PAGE ">
      <w:r>
        <w:rPr>
          <w:sz w:val="16"/>
          <w:color w:val="666666"/>
          <w:i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