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Rule="auto" w:line="254"/>
      </w:pPr>
      <w:r>
        <w:rPr>
          <w:rFonts w:ascii="Arial" w:hAnsi="Arial" w:cs="Arial" w:eastAsia="Arial"/>
          <w:b/>
          <w:color w:val="1A2D4F"/>
          <w:sz w:val="18"/>
          <w:spacing w:val="20"/>
        </w:rPr>
        <w:t>T H E   F O R U M</w:t>
      </w:r>
    </w:p>
    <w:p>
      <w:pPr>
        <w:spacing w:before="0" w:after="120" w:lineRule="auto" w:line="254"/>
        <w:pBdr>
          <w:bottom w:val="single" w:sz="20" w:space="2" w:color="1A2D4F"/>
        </w:pBdr>
      </w:pPr>
    </w:p>
    <w:p>
      <w:pPr>
        <w:spacing w:before="0" w:after="40" w:lineRule="auto" w:line="252"/>
      </w:pPr>
      <w:r>
        <w:rPr>
          <w:rFonts w:ascii="Arial" w:hAnsi="Arial" w:cs="Arial" w:eastAsia="Arial"/>
          <w:b/>
          <w:color w:val="1A2D4F"/>
          <w:sz w:val="34"/>
        </w:rPr>
        <w:t>Housing Affordability in Nevada</w:t>
      </w:r>
    </w:p>
    <w:p>
      <w:pPr>
        <w:spacing w:before="0" w:after="120" w:lineRule="auto" w:line="254"/>
      </w:pPr>
      <w:r>
        <w:rPr>
          <w:rFonts w:ascii="Arial" w:hAnsi="Arial" w:cs="Arial" w:eastAsia="Arial"/>
          <w:b w:val="0"/>
          <w:color w:val="444444"/>
          <w:sz w:val="17"/>
        </w:rPr>
        <w:t>The legislative record behind Nevadans' ten most common housing proposals, 2019–2025 — organized by how far each idea has traveled toward law.</w:t>
      </w:r>
    </w:p>
    <w:p>
      <w:pPr>
        <w:spacing w:before="100" w:after="50" w:lineRule="auto" w:line="254"/>
      </w:pPr>
      <w:r>
        <w:rPr>
          <w:rFonts w:ascii="Arial" w:hAnsi="Arial" w:cs="Arial" w:eastAsia="Arial"/>
          <w:b/>
          <w:color w:val="C0392B"/>
          <w:sz w:val="21"/>
          <w:spacing w:val="20"/>
        </w:rPr>
        <w:t>WHAT THIS BRIEF COVERS AND HOW IT IS ORGANIZED</w:t>
      </w:r>
    </w:p>
    <w:p>
      <w:pPr>
        <w:spacing w:before="0" w:after="64" w:lineRule="auto" w:line="250"/>
        <w:jc w:val="both"/>
      </w:pPr>
      <w:r>
        <w:rPr>
          <w:rFonts w:ascii="Arial" w:hAnsi="Arial" w:cs="Arial" w:eastAsia="Arial"/>
          <w:b w:val="0"/>
          <w:color w:val="444444"/>
          <w:sz w:val="17"/>
        </w:rPr>
        <w:t>Nevada's Legislature took up 149 housing bills across its 2019, 2021, 2023, and 2025 sessions, and 63 became law — in two clear lanes. Supply and money bills now pass with room to spare — the 2025 session enacted the ADU and by-right density mandates and a $133 million attainable-housing account on unanimous and near-unanimous votes. Renter-cost and ownership bills assemble floor majorities session after session and stop at the last step: the governor's desk since 2023, and once, in November 2025, a single vote short of a two-thirds threshold. That is a record full of proven majorities, not dead ends. The sections below sort it by distance traveled: bills that passed both chambers, then bills with a winning vote behind them, then settled law and its openings, then routes with no traction yet — with notes on momentum, federal overlap, and sponsors.</w:t>
      </w:r>
    </w:p>
    <w:p>
      <w:pPr>
        <w:spacing w:before="100" w:after="50" w:lineRule="auto" w:line="254"/>
      </w:pPr>
      <w:r>
        <w:rPr>
          <w:rFonts w:ascii="Arial" w:hAnsi="Arial" w:cs="Arial" w:eastAsia="Arial"/>
          <w:b/>
          <w:color w:val="C0392B"/>
          <w:sz w:val="21"/>
          <w:spacing w:val="20"/>
        </w:rPr>
        <w:t>KEY NUMBERS: HOW FAR HOUSING PROPOSALS HAVE TRAVELED</w:t>
      </w:r>
    </w:p>
    <w:p>
      <w:pPr>
        <w:spacing w:before="0" w:after="60" w:lineRule="auto" w:line="254"/>
      </w:pPr>
      <w:r>
        <w:rPr>
          <w:rFonts w:ascii="Arial" w:hAnsi="Arial" w:cs="Arial" w:eastAsia="Arial"/>
          <w:b w:val="0"/>
          <w:i/>
          <w:color w:val="666666"/>
          <w:sz w:val="16"/>
        </w:rPr>
        <w:t>Each figure below is unpacked, bill by bill, in the section it points to.</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149</w:t>
            </w:r>
          </w:p>
          <w:p>
            <w:pPr>
              <w:spacing w:after="0" w:line="240" w:lineRule="auto"/>
            </w:pPr>
            <w:r>
              <w:rPr>
                <w:rFonts w:ascii="Arial" w:hAnsi="Arial" w:cs="Arial" w:eastAsia="Arial"/>
                <w:b w:val="0"/>
                <w:color w:val="666666"/>
                <w:sz w:val="13"/>
              </w:rPr>
              <w:t>housing bills taken up, 2019–2025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63</w:t>
            </w:r>
          </w:p>
          <w:p>
            <w:pPr>
              <w:spacing w:after="0" w:line="240" w:lineRule="auto"/>
            </w:pPr>
            <w:r>
              <w:rPr>
                <w:rFonts w:ascii="Arial" w:hAnsi="Arial" w:cs="Arial" w:eastAsia="Arial"/>
                <w:b w:val="0"/>
                <w:color w:val="666666"/>
                <w:sz w:val="13"/>
              </w:rPr>
              <w:t>became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3"/>
              </w:rPr>
              <w:t>1 vote</w:t>
            </w:r>
          </w:p>
          <w:p>
            <w:pPr>
              <w:spacing w:after="0" w:line="240" w:lineRule="auto"/>
            </w:pPr>
            <w:r>
              <w:rPr>
                <w:rFonts w:ascii="Arial" w:hAnsi="Arial" w:cs="Arial" w:eastAsia="Arial"/>
                <w:b w:val="0"/>
                <w:color w:val="666666"/>
                <w:sz w:val="13"/>
              </w:rPr>
              <w:t>the margin by which the corporate-purchase cap (SB10) missed its two-thirds requirement in the November 2025 special session</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42–0</w:t>
            </w:r>
          </w:p>
          <w:p>
            <w:pPr>
              <w:spacing w:after="0" w:line="240" w:lineRule="auto"/>
            </w:pPr>
            <w:r>
              <w:rPr>
                <w:rFonts w:ascii="Arial" w:hAnsi="Arial" w:cs="Arial" w:eastAsia="Arial"/>
                <w:b w:val="0"/>
                <w:color w:val="666666"/>
                <w:sz w:val="13"/>
              </w:rPr>
              <w:t>the Assembly's vote on AB540, the $133 million Nevada Attainable Housing Account — now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3"/>
              </w:rPr>
              <w:t>2 of 10</w:t>
            </w:r>
          </w:p>
          <w:p>
            <w:pPr>
              <w:spacing w:after="0" w:line="240" w:lineRule="auto"/>
            </w:pPr>
            <w:r>
              <w:rPr>
                <w:rFonts w:ascii="Arial" w:hAnsi="Arial" w:cs="Arial" w:eastAsia="Arial"/>
                <w:b w:val="0"/>
                <w:color w:val="666666"/>
                <w:sz w:val="13"/>
              </w:rPr>
              <w:t>citizen proposals never yet filed as a bill</w:t>
            </w:r>
          </w:p>
        </w:tc>
      </w:tr>
    </w:tbl>
    <w:p>
      <w:pPr>
        <w:spacing w:before="0" w:after="100" w:lineRule="auto" w:line="254"/>
      </w:pPr>
    </w:p>
    <w:p>
      <w:pPr>
        <w:spacing w:before="100" w:after="50" w:lineRule="auto" w:line="254"/>
      </w:pPr>
      <w:r>
        <w:rPr>
          <w:rFonts w:ascii="Arial" w:hAnsi="Arial" w:cs="Arial" w:eastAsia="Arial"/>
          <w:b/>
          <w:color w:val="C0392B"/>
          <w:sz w:val="21"/>
          <w:spacing w:val="20"/>
        </w:rPr>
        <w:t>CLOSEST TO LAW: BILLS THAT PASSED BOTH CHAMBERS AND STOPPED AT THE LAST STEP</w:t>
      </w:r>
    </w:p>
    <w:p>
      <w:pPr>
        <w:spacing w:before="0" w:after="50" w:lineRule="auto" w:line="250"/>
      </w:pPr>
      <w:r>
        <w:rPr>
          <w:rFonts w:ascii="Arial" w:hAnsi="Arial" w:cs="Arial" w:eastAsia="Arial"/>
          <w:b w:val="0"/>
          <w:i/>
          <w:color w:val="666666"/>
          <w:sz w:val="15"/>
        </w:rPr>
        <w:t>These bills assembled majorities in both houses; only a veto, a missing signature, or a supermajority rule separated them from statute — the record's most advanced unfinished work.</w:t>
      </w:r>
    </w:p>
    <w:p>
      <w:pPr>
        <w:spacing w:before="70" w:after="30" w:lineRule="auto" w:line="250"/>
      </w:pPr>
      <w:r>
        <w:rPr>
          <w:rFonts w:ascii="Arial" w:hAnsi="Arial" w:cs="Arial" w:eastAsia="Arial"/>
          <w:b/>
          <w:color w:val="2E4A78"/>
          <w:sz w:val="18"/>
        </w:rPr>
        <w:t>Vetoed at the governor's desk</w:t>
      </w:r>
    </w:p>
    <w:p>
      <w:pPr>
        <w:spacing w:before="0" w:after="64" w:lineRule="auto" w:line="250"/>
        <w:jc w:val="both"/>
      </w:pPr>
      <w:r>
        <w:rPr>
          <w:rFonts w:ascii="Arial" w:hAnsi="Arial" w:cs="Arial" w:eastAsia="Arial"/>
          <w:b w:val="0"/>
          <w:color w:val="444444"/>
          <w:sz w:val="17"/>
        </w:rPr>
        <w:t xml:space="preserve">Fifteen of the record's sixteen vetoes fall in 2023 and 2025 — nine housing bills in 2023, six in 2025 — and they map the renter-cost agenda almost exactly. </w:t>
      </w:r>
      <w:r>
        <w:rPr>
          <w:rFonts w:ascii="Arial" w:hAnsi="Arial" w:cs="Arial" w:eastAsia="Arial"/>
          <w:b/>
          <w:color w:val="1A2D4F"/>
          <w:sz w:val="17"/>
        </w:rPr>
        <w:t>Limits on corporate ownership:</w:t>
      </w:r>
      <w:r>
        <w:rPr>
          <w:rFonts w:ascii="Arial" w:hAnsi="Arial" w:cs="Arial" w:eastAsia="Arial"/>
          <w:b w:val="0"/>
          <w:color w:val="444444"/>
          <w:sz w:val="17"/>
        </w:rPr>
        <w:t xml:space="preserve"> SB395 (2023) capped corporate and LLC home purchases at 1,000 a year, passed the Senate 14–6 and the Assembly 28–14, and was vetoed. </w:t>
      </w:r>
      <w:r>
        <w:rPr>
          <w:rFonts w:ascii="Arial" w:hAnsi="Arial" w:cs="Arial" w:eastAsia="Arial"/>
          <w:b/>
          <w:color w:val="1A2D4F"/>
          <w:sz w:val="17"/>
        </w:rPr>
        <w:t>Rent caps for manufactured-home parks:</w:t>
      </w:r>
      <w:r>
        <w:rPr>
          <w:rFonts w:ascii="Arial" w:hAnsi="Arial" w:cs="Arial" w:eastAsia="Arial"/>
          <w:b w:val="0"/>
          <w:color w:val="444444"/>
          <w:sz w:val="17"/>
        </w:rPr>
        <w:t xml:space="preserve"> SB275 (2023), aimed at seniors on fixed incomes, cleared both houses 13–8 and 28–14 and was vetoed. </w:t>
      </w:r>
      <w:r>
        <w:rPr>
          <w:rFonts w:ascii="Arial" w:hAnsi="Arial" w:cs="Arial" w:eastAsia="Arial"/>
          <w:b/>
          <w:color w:val="1A2D4F"/>
          <w:sz w:val="17"/>
        </w:rPr>
        <w:t>Local power to require affordable housing:</w:t>
      </w:r>
      <w:r>
        <w:rPr>
          <w:rFonts w:ascii="Arial" w:hAnsi="Arial" w:cs="Arial" w:eastAsia="Arial"/>
          <w:b w:val="0"/>
          <w:color w:val="444444"/>
          <w:sz w:val="17"/>
        </w:rPr>
        <w:t xml:space="preserve"> SB371 (2023), confirming local governments may enact any affordable-housing ordinance not expressly barred by statute, passed 12–9 and 26–14 and was vetoed. </w:t>
      </w:r>
      <w:r>
        <w:rPr>
          <w:rFonts w:ascii="Arial" w:hAnsi="Arial" w:cs="Arial" w:eastAsia="Arial"/>
          <w:b/>
          <w:color w:val="1A2D4F"/>
          <w:sz w:val="17"/>
        </w:rPr>
        <w:t>Fee protections:</w:t>
      </w:r>
      <w:r>
        <w:rPr>
          <w:rFonts w:ascii="Arial" w:hAnsi="Arial" w:cs="Arial" w:eastAsia="Arial"/>
          <w:b w:val="0"/>
          <w:color w:val="444444"/>
          <w:sz w:val="17"/>
        </w:rPr>
        <w:t xml:space="preserve"> application-fee refunds with a plain-language fee appendix passed 36–6 as AB298 (2023), was vetoed, passed again as AB280 (2025), and was vetoed again; the deposits-and-fees bill SB78 (2023) met the same end. AB218, the 2023 all-in pricing bill, was vetoed too — then became law as AB121 in 2025: vetoed designs can return and pass.</w:t>
      </w:r>
    </w:p>
    <w:p>
      <w:pPr>
        <w:spacing w:before="70" w:after="30" w:lineRule="auto" w:line="250"/>
      </w:pPr>
      <w:r>
        <w:rPr>
          <w:rFonts w:ascii="Arial" w:hAnsi="Arial" w:cs="Arial" w:eastAsia="Arial"/>
          <w:b/>
          <w:color w:val="2E4A78"/>
          <w:sz w:val="18"/>
        </w:rPr>
        <w:t>Passed both chambers, then silence or a threshold</w:t>
      </w:r>
    </w:p>
    <w:p>
      <w:pPr>
        <w:spacing w:before="0" w:after="64" w:lineRule="auto" w:line="250"/>
        <w:jc w:val="both"/>
      </w:pPr>
      <w:r>
        <w:rPr>
          <w:rFonts w:ascii="Arial" w:hAnsi="Arial" w:cs="Arial" w:eastAsia="Arial"/>
          <w:b/>
          <w:color w:val="1A2D4F"/>
          <w:sz w:val="17"/>
        </w:rPr>
        <w:t>Developer linkage fees — SB99 (2025).</w:t>
      </w:r>
      <w:r>
        <w:rPr>
          <w:rFonts w:ascii="Arial" w:hAnsi="Arial" w:cs="Arial" w:eastAsia="Arial"/>
          <w:b w:val="0"/>
          <w:color w:val="444444"/>
          <w:sz w:val="17"/>
        </w:rPr>
        <w:t xml:space="preserve"> Authorized the two big metros to charge residential developers a fee dedicated to affordable housing; passed the Senate 14–6 and the Assembly 27–15, was delivered to the governor on May 27, 2025 — and the official history ends there: no signature, no chapter, not law. </w:t>
      </w:r>
      <w:r>
        <w:rPr>
          <w:rFonts w:ascii="Arial" w:hAnsi="Arial" w:cs="Arial" w:eastAsia="Arial"/>
          <w:b/>
          <w:color w:val="1A2D4F"/>
          <w:sz w:val="17"/>
        </w:rPr>
        <w:t>The corporate-purchase cap — SB10 (November 2025 special session).</w:t>
      </w:r>
      <w:r>
        <w:rPr>
          <w:rFonts w:ascii="Arial" w:hAnsi="Arial" w:cs="Arial" w:eastAsia="Arial"/>
          <w:b w:val="0"/>
          <w:color w:val="444444"/>
          <w:sz w:val="17"/>
        </w:rPr>
        <w:t xml:space="preserve"> A 1,000-home cap plus an investor registry passed the Senate 18–0 and won the Assembly 27–10 — one vote short of the 28 its fee provisions required. A unanimous Senate and a 27-vote Assembly majority are the strongest showing this idea has ever made.</w:t>
      </w:r>
    </w:p>
    <w:p>
      <w:pPr>
        <w:spacing w:before="100" w:after="50" w:lineRule="auto" w:line="254"/>
      </w:pPr>
      <w:r>
        <w:rPr>
          <w:rFonts w:ascii="Arial" w:hAnsi="Arial" w:cs="Arial" w:eastAsia="Arial"/>
          <w:b/>
          <w:color w:val="C0392B"/>
          <w:sz w:val="21"/>
          <w:spacing w:val="20"/>
        </w:rPr>
        <w:t>DEMONSTRATED SUPPORT: BILLS THAT CLEARED ONE CHAMBER OR A COMMITTEE</w:t>
      </w:r>
    </w:p>
    <w:p>
      <w:pPr>
        <w:spacing w:before="0" w:after="50" w:lineRule="auto" w:line="250"/>
      </w:pPr>
      <w:r>
        <w:rPr>
          <w:rFonts w:ascii="Arial" w:hAnsi="Arial" w:cs="Arial" w:eastAsia="Arial"/>
          <w:b w:val="0"/>
          <w:i/>
          <w:color w:val="666666"/>
          <w:sz w:val="15"/>
        </w:rPr>
        <w:t>Each bill here won a recorded majority — in committee or on a floor — before stalling: the strongest signal short of passage.</w:t>
      </w:r>
    </w:p>
    <w:p>
      <w:pPr>
        <w:spacing w:before="0" w:after="64" w:lineRule="auto" w:line="250"/>
        <w:jc w:val="both"/>
      </w:pPr>
      <w:r>
        <w:rPr>
          <w:rFonts w:ascii="Arial" w:hAnsi="Arial" w:cs="Arial" w:eastAsia="Arial"/>
          <w:b/>
          <w:color w:val="1A2D4F"/>
          <w:sz w:val="17"/>
        </w:rPr>
        <w:t>Corporate-cap retry — SB391 (2025).</w:t>
      </w:r>
      <w:r>
        <w:rPr>
          <w:rFonts w:ascii="Arial" w:hAnsi="Arial" w:cs="Arial" w:eastAsia="Arial"/>
          <w:b w:val="0"/>
          <w:color w:val="444444"/>
          <w:sz w:val="17"/>
        </w:rPr>
        <w:t xml:space="preserve"> Cut the purchase cap to 100 homes a year; passed the Senate 13–8 and died in the Assembly.</w:t>
      </w:r>
    </w:p>
    <w:p>
      <w:pPr>
        <w:spacing w:before="0" w:after="64" w:lineRule="auto" w:line="250"/>
        <w:jc w:val="both"/>
      </w:pPr>
      <w:r>
        <w:rPr>
          <w:rFonts w:ascii="Arial" w:hAnsi="Arial" w:cs="Arial" w:eastAsia="Arial"/>
          <w:b/>
          <w:color w:val="1A2D4F"/>
          <w:sz w:val="17"/>
        </w:rPr>
        <w:t>First-home rate buy-down — SB193 (2025).</w:t>
      </w:r>
      <w:r>
        <w:rPr>
          <w:rFonts w:ascii="Arial" w:hAnsi="Arial" w:cs="Arial" w:eastAsia="Arial"/>
          <w:b w:val="0"/>
          <w:color w:val="444444"/>
          <w:sz w:val="17"/>
        </w:rPr>
        <w:t xml:space="preserve"> Ordered a state pilot buying down mortgage interest rates for eligible first-home borrowers; passed the Senate 14–5 and died in the Assembly. Existing homebuyer programs run through the Housing Division's bond authority, not session-by-session statute.</w:t>
      </w:r>
    </w:p>
    <w:p>
      <w:pPr>
        <w:spacing w:before="0" w:after="64" w:lineRule="auto" w:line="250"/>
        <w:jc w:val="both"/>
      </w:pPr>
      <w:r>
        <w:rPr>
          <w:rFonts w:ascii="Arial" w:hAnsi="Arial" w:cs="Arial" w:eastAsia="Arial"/>
          <w:b/>
          <w:color w:val="1A2D4F"/>
          <w:sz w:val="17"/>
        </w:rPr>
        <w:t>Housing Liaison — 2025.</w:t>
      </w:r>
      <w:r>
        <w:rPr>
          <w:rFonts w:ascii="Arial" w:hAnsi="Arial" w:cs="Arial" w:eastAsia="Arial"/>
          <w:b w:val="0"/>
          <w:color w:val="444444"/>
          <w:sz w:val="17"/>
        </w:rPr>
        <w:t xml:space="preserve"> The upgrade of the Housing Division's Housing Advocate into a Housing Liaison passed the Assembly 42–0 and died in the Senate at the deadline. The ADU property-tax break for units rented to voucher holders died the same way in 2025 — after a 42–0 Assembly vote — having also failed in 2023. Unanimous Assembly support twice over is the signal; the Senate calendar is the obstacle.</w:t>
      </w:r>
    </w:p>
    <w:p>
      <w:pPr>
        <w:spacing w:before="100" w:after="50" w:lineRule="auto" w:line="254"/>
      </w:pPr>
      <w:r>
        <w:rPr>
          <w:rFonts w:ascii="Arial" w:hAnsi="Arial" w:cs="Arial" w:eastAsia="Arial"/>
          <w:b/>
          <w:color w:val="C0392B"/>
          <w:sz w:val="21"/>
          <w:spacing w:val="20"/>
        </w:rPr>
        <w:t>ALREADY LAW — AND THE OPENINGS AROUND IT</w:t>
      </w:r>
    </w:p>
    <w:p>
      <w:pPr>
        <w:spacing w:before="0" w:after="50" w:lineRule="auto" w:line="250"/>
      </w:pPr>
      <w:r>
        <w:rPr>
          <w:rFonts w:ascii="Arial" w:hAnsi="Arial" w:cs="Arial" w:eastAsia="Arial"/>
          <w:b w:val="0"/>
          <w:i/>
          <w:color w:val="666666"/>
          <w:sz w:val="15"/>
        </w:rPr>
        <w:t>Fresh statutes mark ground unlikely to be revisited soon — and the lanes where the Legislature keeps building.</w:t>
      </w:r>
    </w:p>
    <w:p>
      <w:pPr>
        <w:spacing w:before="70" w:after="30" w:lineRule="auto" w:line="250"/>
      </w:pPr>
      <w:r>
        <w:rPr>
          <w:rFonts w:ascii="Arial" w:hAnsi="Arial" w:cs="Arial" w:eastAsia="Arial"/>
          <w:b/>
          <w:color w:val="2E4A78"/>
          <w:sz w:val="18"/>
        </w:rPr>
        <w:t>Recently settled ground (2025 session)</w:t>
      </w:r>
    </w:p>
    <w:p>
      <w:pPr>
        <w:spacing w:before="0" w:after="64" w:lineRule="auto" w:line="250"/>
        <w:jc w:val="both"/>
      </w:pPr>
      <w:r>
        <w:rPr>
          <w:rFonts w:ascii="Arial" w:hAnsi="Arial" w:cs="Arial" w:eastAsia="Arial"/>
          <w:b w:val="0"/>
          <w:color w:val="444444"/>
          <w:sz w:val="17"/>
        </w:rPr>
        <w:t>AB540 created the Nevada Attainable Housing Account with $133 million, passing the Assembly 42–0. AB396 requires Clark, Washoe, and the five largest cities to allow accessory dwelling units; AB241 requires apartments and mixed-use housing by right on commercial land — the density file, empty through 2023, is now law. AB121 made advertised rent an all-in figure with fee disclosure. AB211 lets cities force repairs at neglected apartment properties, 41–0. AB475 funded eviction diversion in Clark County, Reno, and rural Nevada, 42–0 and 19–1. AB457 launched the interim study of how corporate rental-property owners are taxed, reporting for 2027, and the special session revised the Windsor Park relocation act (SB6). Bills restating these mandates or re-funding the fresh accounts would duplicate just-completed work and are unlikely to advance.</w:t>
      </w:r>
    </w:p>
    <w:p>
      <w:pPr>
        <w:spacing w:before="70" w:after="30" w:lineRule="auto" w:line="250"/>
      </w:pPr>
      <w:r>
        <w:rPr>
          <w:rFonts w:ascii="Arial" w:hAnsi="Arial" w:cs="Arial" w:eastAsia="Arial"/>
          <w:b/>
          <w:color w:val="2E4A78"/>
          <w:sz w:val="18"/>
        </w:rPr>
        <w:t>Where the record points further</w:t>
      </w:r>
    </w:p>
    <w:p>
      <w:pPr>
        <w:spacing w:before="0" w:after="64" w:lineRule="auto" w:line="250"/>
        <w:jc w:val="both"/>
      </w:pPr>
      <w:r>
        <w:rPr>
          <w:rFonts w:ascii="Arial" w:hAnsi="Arial" w:cs="Arial" w:eastAsia="Arial"/>
          <w:b w:val="0"/>
          <w:color w:val="444444"/>
          <w:sz w:val="17"/>
        </w:rPr>
        <w:t>Fee transparency is the Legislature's most consistent housing lane, each rung extending the last: the 5 percent late-fee cap (SB151, 2019), the three-day grace period (AB308, 2021), the unanimous ban on charging tenants for repairs the landlord owes (SB381, 2023), all-in pricing (AB121, 2025). The unfinished rung — application-fee refunds — has now passed the Legislature twice. On supply, SB150 (2021) legalized tiny houses in some zones and AB38 (2025) modernized the factory-built housing code, 40–2 and 17–3; the incentive side — SB430 (2025), tax credits for builders of at-cost starter homes with resale protections against investors — died in committee without a vote, untested rather than rejected. The machinery for a builders–citizens–legislators working group already exists: AB476 (2019), carried by a cross-party team, recreated the statutory Advisory Committee on Housing — annual needs report, one bill draft per session — 38–2 and 20–0, and study bills remain the most reliably enacted kind of housing bill. SB188 (2021) created donor-funded matched-savings accounts toward a first home after the same idea died in 2019. On corporate ownership, a one-vote special-session miss plus a statutory study due in 2027 mark that file as open, not closed.</w:t>
      </w:r>
    </w:p>
    <w:p>
      <w:pPr>
        <w:spacing w:before="100" w:after="50" w:lineRule="auto" w:line="254"/>
      </w:pPr>
      <w:r>
        <w:rPr>
          <w:rFonts w:ascii="Arial" w:hAnsi="Arial" w:cs="Arial" w:eastAsia="Arial"/>
          <w:b/>
          <w:color w:val="C0392B"/>
          <w:sz w:val="21"/>
          <w:spacing w:val="20"/>
        </w:rPr>
        <w:t>ROUTES WITH LITTLE TRACTION YET: NEVER FILED, NEVER HEARD, OR STOPPED EARLY</w:t>
      </w:r>
    </w:p>
    <w:p>
      <w:pPr>
        <w:spacing w:before="0" w:after="50" w:lineRule="auto" w:line="250"/>
      </w:pPr>
      <w:r>
        <w:rPr>
          <w:rFonts w:ascii="Arial" w:hAnsi="Arial" w:cs="Arial" w:eastAsia="Arial"/>
          <w:b w:val="0"/>
          <w:i/>
          <w:color w:val="666666"/>
          <w:sz w:val="15"/>
        </w:rPr>
        <w:t>Nothing here has won a vote — never filed, never heard in committee, or stopped early. The least-traveled routes: unproven rather than closed.</w:t>
      </w:r>
    </w:p>
    <w:p>
      <w:pPr>
        <w:spacing w:before="0" w:after="64" w:lineRule="auto" w:line="250"/>
        <w:jc w:val="both"/>
      </w:pPr>
      <w:r>
        <w:rPr>
          <w:rFonts w:ascii="Arial" w:hAnsi="Arial" w:cs="Arial" w:eastAsia="Arial"/>
          <w:b/>
          <w:color w:val="1A2D4F"/>
          <w:sz w:val="17"/>
        </w:rPr>
        <w:t>Inclusionary requirements.</w:t>
      </w:r>
      <w:r>
        <w:rPr>
          <w:rFonts w:ascii="Arial" w:hAnsi="Arial" w:cs="Arial" w:eastAsia="Arial"/>
          <w:b w:val="0"/>
          <w:color w:val="444444"/>
          <w:sz w:val="17"/>
        </w:rPr>
        <w:t xml:space="preserve"> No bill has ever mandated that developments include a percentage of affordable units. The filed fight sits one step earlier — local authority to impose such conditions (SB371, vetoed; its 2025 retry SB289 died in Senate Government Affairs). The pay-instead-of-build versions (in-lieu funds AB331 and AB334, 2021) died in their first committee.</w:t>
      </w:r>
    </w:p>
    <w:p>
      <w:pPr>
        <w:spacing w:before="0" w:after="64" w:lineRule="auto" w:line="250"/>
        <w:jc w:val="both"/>
      </w:pPr>
      <w:r>
        <w:rPr>
          <w:rFonts w:ascii="Arial" w:hAnsi="Arial" w:cs="Arial" w:eastAsia="Arial"/>
          <w:b/>
          <w:color w:val="1A2D4F"/>
          <w:sz w:val="17"/>
        </w:rPr>
        <w:t>Loan forgiveness and homebuying help for high-demand professions.</w:t>
      </w:r>
      <w:r>
        <w:rPr>
          <w:rFonts w:ascii="Arial" w:hAnsi="Arial" w:cs="Arial" w:eastAsia="Arial"/>
          <w:b w:val="0"/>
          <w:color w:val="444444"/>
          <w:sz w:val="17"/>
        </w:rPr>
        <w:t xml:space="preserve"> Never filed. The template is in statute — the health-provider loan-repayment program, expanded twice in 2025 (AB269, SB266) — and the nearest housing attempts stopped short: SB47 (2023), letting school districts house their own employees, died on the Senate floor, and the 2025 buy-down pilot selected borrowers by income, not profession.</w:t>
      </w:r>
    </w:p>
    <w:p>
      <w:pPr>
        <w:spacing w:before="0" w:after="64" w:lineRule="auto" w:line="250"/>
        <w:jc w:val="both"/>
      </w:pPr>
      <w:r>
        <w:rPr>
          <w:rFonts w:ascii="Arial" w:hAnsi="Arial" w:cs="Arial" w:eastAsia="Arial"/>
          <w:b/>
          <w:color w:val="1A2D4F"/>
          <w:sz w:val="17"/>
        </w:rPr>
        <w:t>Rent caps and their mirror image.</w:t>
      </w:r>
      <w:r>
        <w:rPr>
          <w:rFonts w:ascii="Arial" w:hAnsi="Arial" w:cs="Arial" w:eastAsia="Arial"/>
          <w:b w:val="0"/>
          <w:color w:val="444444"/>
          <w:sz w:val="17"/>
        </w:rPr>
        <w:t xml:space="preserve"> The general cap died twice in 2023 without an Assembly floor vote (AB362 in committee, SB426 on the Senate floor), and the 2025 manufactured-home retry died in committee; the bills banning local rent control (SB123 and AB443, 2025) also died in their first committees. Nevada law today neither caps rents nor forbids cities from trying — the Legislature has so far declined to move in either direction, except for the vetoed SB275.</w:t>
      </w:r>
    </w:p>
    <w:p>
      <w:pPr>
        <w:spacing w:before="0" w:after="64" w:lineRule="auto" w:line="250"/>
        <w:jc w:val="both"/>
      </w:pPr>
      <w:r>
        <w:rPr>
          <w:rFonts w:ascii="Arial" w:hAnsi="Arial" w:cs="Arial" w:eastAsia="Arial"/>
          <w:b/>
          <w:color w:val="1A2D4F"/>
          <w:sz w:val="17"/>
        </w:rPr>
        <w:t>Registries and impact fees.</w:t>
      </w:r>
      <w:r>
        <w:rPr>
          <w:rFonts w:ascii="Arial" w:hAnsi="Arial" w:cs="Arial" w:eastAsia="Arial"/>
          <w:b w:val="0"/>
          <w:color w:val="444444"/>
          <w:sz w:val="17"/>
        </w:rPr>
        <w:t xml:space="preserve"> Statewide landlord registries died in first committee in 2021 and 2025; school impact fees (SB471, 2019) and developer in-lieu funds (2021) died in Government Affairs. The one enacted bill in that space runs the other way — SB103 (2019) lets local governments reduce fees for affordable-housing projects.</w:t>
      </w:r>
    </w:p>
    <w:p>
      <w:pPr>
        <w:spacing w:before="100" w:after="50" w:lineRule="auto" w:line="254"/>
      </w:pPr>
      <w:r>
        <w:rPr>
          <w:rFonts w:ascii="Arial" w:hAnsi="Arial" w:cs="Arial" w:eastAsia="Arial"/>
          <w:b/>
          <w:color w:val="C0392B"/>
          <w:sz w:val="21"/>
          <w:spacing w:val="20"/>
        </w:rPr>
        <w:t>MOMENTUM MAP: ACTIVE FRONTS AND QUIET FRONTS</w:t>
      </w:r>
    </w:p>
    <w:p>
      <w:pPr>
        <w:spacing w:before="0" w:after="50" w:lineRule="auto" w:line="250"/>
      </w:pPr>
      <w:r>
        <w:rPr>
          <w:rFonts w:ascii="Arial" w:hAnsi="Arial" w:cs="Arial" w:eastAsia="Arial"/>
          <w:b w:val="0"/>
          <w:i/>
          <w:color w:val="666666"/>
          <w:sz w:val="15"/>
        </w:rPr>
        <w:t>Where bills keep appearing and advancing — and where the Legislature has not yet shown willingness to legislate.</w:t>
      </w:r>
    </w:p>
    <w:p>
      <w:pPr>
        <w:spacing w:before="0" w:after="64" w:lineRule="auto" w:line="250"/>
        <w:jc w:val="both"/>
      </w:pPr>
      <w:r>
        <w:rPr>
          <w:rFonts w:ascii="Arial" w:hAnsi="Arial" w:cs="Arial" w:eastAsia="Arial"/>
          <w:b/>
          <w:color w:val="1A2D4F"/>
          <w:sz w:val="17"/>
        </w:rPr>
        <w:t>Active:</w:t>
      </w:r>
      <w:r>
        <w:rPr>
          <w:rFonts w:ascii="Arial" w:hAnsi="Arial" w:cs="Arial" w:eastAsia="Arial"/>
          <w:b w:val="0"/>
          <w:color w:val="444444"/>
          <w:sz w:val="17"/>
        </w:rPr>
        <w:t xml:space="preserve"> supply and money (mandates plus a nine-figure account, passed near-unanimously in 2025); fee transparency (a new rung enacted almost every session since 2019); corporate-ownership limits (majorities in both chambers in 2023, the Senate in 2025, a one-vote miss in the special session, and a study due in 2027 — the most movement of any unfinished idea in the record). </w:t>
      </w:r>
      <w:r>
        <w:rPr>
          <w:rFonts w:ascii="Arial" w:hAnsi="Arial" w:cs="Arial" w:eastAsia="Arial"/>
          <w:b/>
          <w:color w:val="1A2D4F"/>
          <w:sz w:val="17"/>
        </w:rPr>
        <w:t>Quiet:</w:t>
      </w:r>
      <w:r>
        <w:rPr>
          <w:rFonts w:ascii="Arial" w:hAnsi="Arial" w:cs="Arial" w:eastAsia="Arial"/>
          <w:b w:val="0"/>
          <w:color w:val="444444"/>
          <w:sz w:val="17"/>
        </w:rPr>
        <w:t xml:space="preserve"> rent caps (both the cap and the cap-ban die early); inclusionary mandates and profession-based homebuyer help (never filed); landlord registries and impact fees (repeated first-committee deaths).</w:t>
      </w:r>
    </w:p>
    <w:p>
      <w:pPr>
        <w:spacing w:before="100" w:after="50" w:lineRule="auto" w:line="254"/>
      </w:pPr>
      <w:r>
        <w:rPr>
          <w:rFonts w:ascii="Arial" w:hAnsi="Arial" w:cs="Arial" w:eastAsia="Arial"/>
          <w:b/>
          <w:color w:val="C0392B"/>
          <w:sz w:val="21"/>
          <w:spacing w:val="20"/>
        </w:rPr>
        <w:t>FEDERAL OVERLAP: WHAT IS ALREADY ADDRESSED OUTSIDE CARSON CITY</w:t>
      </w:r>
    </w:p>
    <w:p>
      <w:pPr>
        <w:spacing w:before="0" w:after="50" w:lineRule="auto" w:line="250"/>
      </w:pPr>
      <w:r>
        <w:rPr>
          <w:rFonts w:ascii="Arial" w:hAnsi="Arial" w:cs="Arial" w:eastAsia="Arial"/>
          <w:b w:val="0"/>
          <w:i/>
          <w:color w:val="666666"/>
          <w:sz w:val="15"/>
        </w:rPr>
        <w:t>Where federal action already covers ground, a state bill duplicates it; where none exists, the state route is the only one.</w:t>
      </w:r>
    </w:p>
    <w:p>
      <w:pPr>
        <w:spacing w:before="0" w:after="64" w:lineRule="auto" w:line="250"/>
        <w:jc w:val="both"/>
      </w:pPr>
      <w:r>
        <w:rPr>
          <w:rFonts w:ascii="Arial" w:hAnsi="Arial" w:cs="Arial" w:eastAsia="Arial"/>
          <w:b w:val="0"/>
          <w:color w:val="444444"/>
          <w:sz w:val="17"/>
        </w:rPr>
        <w:t>No federal law caps rents in private housing or limits corporate purchases of homes — congressional proposals to curb hedge-fund ownership of single-family homes have been introduced but not enacted — so Nevada's corporate-cap and rent bills duplicate nothing at the federal level. Federal supply money runs through the Low-Income Housing Tax Credit and HUD block grants; AB540's state account supplements that machinery rather than repeating it. FHA and VA loans serve first-time buyers, but proposed federal down-payment tax credits have not passed, leaving SB193-style pilots on open ground. The federal junk-fee rule finalized in 2024 covers lodging and event tickets, not rental housing — AB121 and the vetoed fee-refund bills are the only all-in-pricing rules that reach Nevada renters.</w:t>
      </w:r>
    </w:p>
    <w:p>
      <w:pPr>
        <w:spacing w:before="100" w:after="50" w:lineRule="auto" w:line="254"/>
      </w:pPr>
      <w:r>
        <w:rPr>
          <w:rFonts w:ascii="Arial" w:hAnsi="Arial" w:cs="Arial" w:eastAsia="Arial"/>
          <w:b/>
          <w:color w:val="C0392B"/>
          <w:sz w:val="21"/>
          <w:spacing w:val="20"/>
        </w:rPr>
        <w:t>SPONSORS, COMMITTEES, AND WHO STILL SERVES</w:t>
      </w:r>
    </w:p>
    <w:p>
      <w:pPr>
        <w:spacing w:before="0" w:after="50" w:lineRule="auto" w:line="250"/>
      </w:pPr>
      <w:r>
        <w:rPr>
          <w:rFonts w:ascii="Arial" w:hAnsi="Arial" w:cs="Arial" w:eastAsia="Arial"/>
          <w:b w:val="0"/>
          <w:i/>
          <w:color w:val="666666"/>
          <w:sz w:val="15"/>
        </w:rPr>
        <w:t>Who has carried these bills, where bills stop, and which authors remain in the Legislature.</w:t>
      </w:r>
    </w:p>
    <w:p>
      <w:pPr>
        <w:spacing w:before="0" w:after="64" w:lineRule="auto" w:line="250"/>
        <w:jc w:val="both"/>
      </w:pPr>
      <w:r>
        <w:rPr>
          <w:rFonts w:ascii="Arial" w:hAnsi="Arial" w:cs="Arial" w:eastAsia="Arial"/>
          <w:b w:val="0"/>
          <w:color w:val="444444"/>
          <w:sz w:val="17"/>
        </w:rPr>
        <w:t>Most housing bills come from named lawmakers, not committees — 114 of 149. Senator Julia Ratti (D), who built the 2019 baseline (the eviction rewrite, fee caps, and the Housing Crisis Response System — 12 bills in all), left the Legislature after the 2021 session. Senator Dina Neal (D), who carries the corporate-cap and housing-finance line (10 bills), is a current member. Rent and landlord-tenant bills route through the Commerce and Labor committees, where 11 died at the first stop; local-power, developer-fee, and registry bills route through Government Affairs, which stopped 14. Cross-party teams appeared on only 16 policy bills — and 13 became law, the best odds in the record. Since 2023, the deciding vote on renter-cost and ownership bills has been cast at the governor's desk.</w:t>
      </w:r>
    </w:p>
    <w:p>
      <w:pPr>
        <w:spacing w:before="160" w:after="0" w:lineRule="auto" w:line="254"/>
        <w:pBdr>
          <w:top w:val="single" w:sz="6" w:space="4" w:color="C8CDD6"/>
        </w:pBdr>
      </w:pPr>
      <w:r>
        <w:rPr>
          <w:rFonts w:ascii="Arial" w:hAnsi="Arial" w:cs="Arial" w:eastAsia="Arial"/>
          <w:b w:val="0"/>
          <w:color w:val="666666"/>
          <w:sz w:val="14"/>
          <w:spacing w:val="12"/>
        </w:rPr>
        <w:t>FULL BILL-BY-BILL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