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Proposal Spotlights — Housing Brief</w:t>
      </w:r>
    </w:p>
    <w:p>
      <w:pPr>
        <w:widowControl/>
        <w:spacing w:before="0" w:after="120" w:lineRule="auto" w:line="254"/>
      </w:pPr>
      <w:r>
        <w:rPr>
          <w:rFonts w:ascii="Arial" w:hAnsi="Arial" w:cs="Arial" w:eastAsia="Arial"/>
          <w:b w:val="0"/>
          <w:color w:val="444444"/>
          <w:sz w:val="20"/>
        </w:rPr>
        <w:t>A close look at the legislative record behind each proposal the working group short-listed, with committee paths, party breakdowns, and sponsor detail beyond what the citizen brief (v3.0) carries.</w:t>
      </w:r>
    </w:p>
    <w:p>
      <w:pPr>
        <w:widowControl/>
        <w:spacing w:before="100" w:after="40" w:lineRule="auto" w:line="254"/>
      </w:pPr>
      <w:r>
        <w:rPr>
          <w:rFonts w:ascii="Arial" w:hAnsi="Arial" w:cs="Arial" w:eastAsia="Arial"/>
          <w:b/>
          <w:color w:val="C0392B"/>
          <w:sz w:val="25"/>
          <w:spacing w:val="20"/>
        </w:rPr>
        <w:t>LIMITING CORPORATE OWNERSHIP OF HOUSING</w:t>
      </w:r>
    </w:p>
    <w:p>
      <w:pPr>
        <w:widowControl/>
        <w:spacing w:before="0" w:after="60" w:lineRule="auto" w:line="276"/>
      </w:pPr>
      <w:r>
        <w:rPr>
          <w:rFonts w:ascii="Arial" w:hAnsi="Arial" w:cs="Arial" w:eastAsia="Arial"/>
          <w:b w:val="0"/>
          <w:i/>
          <w:color w:val="666666"/>
          <w:sz w:val="20"/>
        </w:rPr>
        <w:t>Working-group proposal: limit corporate and institutional ownership of housing.</w:t>
      </w:r>
    </w:p>
    <w:p>
      <w:pPr>
        <w:keepLines/>
        <w:widowControl/>
        <w:spacing w:before="0" w:after="100" w:lineRule="auto" w:line="276"/>
      </w:pPr>
      <w:r>
        <w:rPr>
          <w:rFonts w:ascii="Arial" w:hAnsi="Arial" w:cs="Arial" w:eastAsia="Arial"/>
          <w:b/>
          <w:color w:val="1A2D4F"/>
          <w:sz w:val="20"/>
        </w:rPr>
        <w:t>The support has grown each time it was tested.</w:t>
      </w:r>
      <w:r>
        <w:rPr>
          <w:rFonts w:ascii="Arial" w:hAnsi="Arial" w:cs="Arial" w:eastAsia="Arial"/>
          <w:b w:val="0"/>
          <w:color w:val="444444"/>
          <w:sz w:val="20"/>
        </w:rPr>
        <w:t xml:space="preserve"> SB395 (2023), the 1,000-home annual cap, passed the Senate 14–6 with one Republican joining thirteen Democrats, passed the Assembly 28–14 on Democratic votes alone, and was vetoed. SB391 (2025), which cut the cap to 100 homes, passed the Senate 13–8 with no Republican support and died in the Assembly. Then the November 2025 special session flipped the pattern: SB10 — a 1,000-home cap plus an investor registry — passed the Senate 18–0, every senator of both parties, before winning the Assembly 27–10 and falling one vote short of the 28 required.</w:t>
      </w:r>
    </w:p>
    <w:p>
      <w:pPr>
        <w:keepLines/>
        <w:widowControl/>
        <w:spacing w:before="0" w:after="100" w:lineRule="auto" w:line="276"/>
      </w:pPr>
      <w:r>
        <w:rPr>
          <w:rFonts w:ascii="Arial" w:hAnsi="Arial" w:cs="Arial" w:eastAsia="Arial"/>
          <w:b/>
          <w:color w:val="1A2D4F"/>
          <w:sz w:val="20"/>
        </w:rPr>
        <w:t>The two-thirds rule, not the cap, decided the outcome.</w:t>
      </w:r>
      <w:r>
        <w:rPr>
          <w:rFonts w:ascii="Arial" w:hAnsi="Arial" w:cs="Arial" w:eastAsia="Arial"/>
          <w:b w:val="0"/>
          <w:color w:val="444444"/>
          <w:sz w:val="20"/>
        </w:rPr>
        <w:t xml:space="preserve"> SB10's registry fees made it a revenue measure under Nevada's constitution, raising the bar from 22 Assembly votes to 28. A cap without fee provisions would face only a simple majority — and the veto desk. Meanwhile AB457 (2025) has an interim committee studying how corporate rental-property owners are taxed, reporting for 2027, and Senator Dina Neal (D), the design's most consistent carrier, remains in the Senate.</w:t>
      </w:r>
    </w:p>
    <w:p>
      <w:pPr>
        <w:widowControl/>
        <w:spacing w:before="100" w:after="40" w:lineRule="auto" w:line="254"/>
      </w:pPr>
      <w:r>
        <w:rPr>
          <w:rFonts w:ascii="Arial" w:hAnsi="Arial" w:cs="Arial" w:eastAsia="Arial"/>
          <w:b/>
          <w:color w:val="C0392B"/>
          <w:sz w:val="25"/>
          <w:spacing w:val="20"/>
        </w:rPr>
        <w:t>ZONING REFORM AND SMALLER, DENSER HOMES</w:t>
      </w:r>
    </w:p>
    <w:p>
      <w:pPr>
        <w:widowControl/>
        <w:spacing w:before="0" w:after="60" w:lineRule="auto" w:line="276"/>
      </w:pPr>
      <w:r>
        <w:rPr>
          <w:rFonts w:ascii="Arial" w:hAnsi="Arial" w:cs="Arial" w:eastAsia="Arial"/>
          <w:b w:val="0"/>
          <w:i/>
          <w:color w:val="666666"/>
          <w:sz w:val="20"/>
        </w:rPr>
        <w:t>Working-group proposal: increase housing supply, reform zoning, and build more, smaller, denser homes.</w:t>
      </w:r>
    </w:p>
    <w:p>
      <w:pPr>
        <w:keepLines/>
        <w:widowControl/>
        <w:spacing w:before="0" w:after="100" w:lineRule="auto" w:line="276"/>
      </w:pPr>
      <w:r>
        <w:rPr>
          <w:rFonts w:ascii="Arial" w:hAnsi="Arial" w:cs="Arial" w:eastAsia="Arial"/>
          <w:b/>
          <w:color w:val="1A2D4F"/>
          <w:sz w:val="20"/>
        </w:rPr>
        <w:t>Mandates passed on party lines; codes passed across the aisle.</w:t>
      </w:r>
      <w:r>
        <w:rPr>
          <w:rFonts w:ascii="Arial" w:hAnsi="Arial" w:cs="Arial" w:eastAsia="Arial"/>
          <w:b w:val="0"/>
          <w:color w:val="444444"/>
          <w:sz w:val="20"/>
        </w:rPr>
        <w:t xml:space="preserve"> The two 2025 supply mandates became law on largely one-party votes: AB396, requiring the largest jurisdictions to allow accessory dwelling units, passed 27–15 and 14–7 with a single Republican in each chamber; AB241, requiring apartments by right on commercial land, passed 28–14 and 15–6. By contrast, the code-modernization route drew both parties — AB38 (2025) rewrote the factory-built housing code 40–2 and 17–3, and SB150 (2021) legalized tiny houses in some zones. Two lanes now exist in the record: mandates that pass narrowly, and technical enablers that pass broadly.</w:t>
      </w:r>
    </w:p>
    <w:p>
      <w:pPr>
        <w:keepLines/>
        <w:widowControl/>
        <w:spacing w:before="0" w:after="100" w:lineRule="auto" w:line="276"/>
      </w:pPr>
      <w:r>
        <w:rPr>
          <w:rFonts w:ascii="Arial" w:hAnsi="Arial" w:cs="Arial" w:eastAsia="Arial"/>
          <w:b/>
          <w:color w:val="1A2D4F"/>
          <w:sz w:val="20"/>
        </w:rPr>
        <w:t>The untested piece is the incentive side.</w:t>
      </w:r>
      <w:r>
        <w:rPr>
          <w:rFonts w:ascii="Arial" w:hAnsi="Arial" w:cs="Arial" w:eastAsia="Arial"/>
          <w:b w:val="0"/>
          <w:color w:val="444444"/>
          <w:sz w:val="20"/>
        </w:rPr>
        <w:t xml:space="preserve"> SB430 (2025) — tax credits for builders of at-cost starter homes with resale protections keeping them from investors — died in Senate Revenue and Economic Development without a vote. No committee has yet voted on an incentive design for small-format homes; the mandates and codes above are the entire tested record.</w:t>
      </w:r>
    </w:p>
    <w:p>
      <w:pPr>
        <w:widowControl/>
        <w:spacing w:before="100" w:after="40" w:lineRule="auto" w:line="254"/>
      </w:pPr>
      <w:r>
        <w:rPr>
          <w:rFonts w:ascii="Arial" w:hAnsi="Arial" w:cs="Arial" w:eastAsia="Arial"/>
          <w:b/>
          <w:color w:val="C0392B"/>
          <w:sz w:val="25"/>
          <w:spacing w:val="20"/>
        </w:rPr>
        <w:t>AFFORDABLE-HOUSING SHARES AND IN-LIEU FUNDS</w:t>
      </w:r>
    </w:p>
    <w:p>
      <w:pPr>
        <w:widowControl/>
        <w:spacing w:before="0" w:after="60" w:lineRule="auto" w:line="276"/>
      </w:pPr>
      <w:r>
        <w:rPr>
          <w:rFonts w:ascii="Arial" w:hAnsi="Arial" w:cs="Arial" w:eastAsia="Arial"/>
          <w:b w:val="0"/>
          <w:i/>
          <w:color w:val="666666"/>
          <w:sz w:val="20"/>
        </w:rPr>
        <w:t>Working-group proposal: require developers to build a share of affordable housing or pay into a fund.</w:t>
      </w:r>
    </w:p>
    <w:p>
      <w:pPr>
        <w:keepLines/>
        <w:widowControl/>
        <w:spacing w:before="0" w:after="100" w:lineRule="auto" w:line="276"/>
      </w:pPr>
      <w:r>
        <w:rPr>
          <w:rFonts w:ascii="Arial" w:hAnsi="Arial" w:cs="Arial" w:eastAsia="Arial"/>
          <w:b/>
          <w:color w:val="1A2D4F"/>
          <w:sz w:val="20"/>
        </w:rPr>
        <w:t>No Nevada bill has ever proposed the requirement itself.</w:t>
      </w:r>
      <w:r>
        <w:rPr>
          <w:rFonts w:ascii="Arial" w:hAnsi="Arial" w:cs="Arial" w:eastAsia="Arial"/>
          <w:b w:val="0"/>
          <w:color w:val="444444"/>
          <w:sz w:val="20"/>
        </w:rPr>
        <w:t xml:space="preserve"> Every filed fight sits one step away. Local authority to impose such conditions passed both chambers as SB371 (2023), 12–9 and 26–14, and was vetoed; the 2025 retry, SB289, died in Senate Government Affairs. The pay-instead-of-build fund reached the desk as SB99 (2025), the developer linkage fee for the two big metros — 14–6 and 27–15 — and was delivered to the governor on May 27, 2025, where the record simply ends: no signature, no chapter. The in-lieu funds of 2021 (AB331, AB334) and school impact fees (SB471, 2019) all died in Government Affairs committees, the consistent chokepoint for this design family.</w:t>
      </w:r>
    </w:p>
    <w:p>
      <w:pPr>
        <w:keepLines/>
        <w:widowControl/>
        <w:spacing w:before="0" w:after="100" w:lineRule="auto" w:line="276"/>
      </w:pPr>
      <w:r>
        <w:rPr>
          <w:rFonts w:ascii="Arial" w:hAnsi="Arial" w:cs="Arial" w:eastAsia="Arial"/>
          <w:b/>
          <w:color w:val="1A2D4F"/>
          <w:sz w:val="20"/>
        </w:rPr>
        <w:t>What is enacted runs the other direction.</w:t>
      </w:r>
      <w:r>
        <w:rPr>
          <w:rFonts w:ascii="Arial" w:hAnsi="Arial" w:cs="Arial" w:eastAsia="Arial"/>
          <w:b w:val="0"/>
          <w:color w:val="444444"/>
          <w:sz w:val="20"/>
        </w:rPr>
        <w:t xml:space="preserve"> SB103 (2019) lets local governments reduce or subsidize fees for affordable projects — an incentive, not a requirement. A statewide inclusionary mandate would be new statutory ground on a path where even the enabling votes have twice needed and twice lacked the governor's signature.</w:t>
      </w:r>
    </w:p>
    <w:p>
      <w:pPr>
        <w:widowControl/>
        <w:spacing w:before="100" w:after="40" w:lineRule="auto" w:line="254"/>
      </w:pPr>
      <w:r>
        <w:rPr>
          <w:rFonts w:ascii="Arial" w:hAnsi="Arial" w:cs="Arial" w:eastAsia="Arial"/>
          <w:b/>
          <w:color w:val="C0392B"/>
          <w:sz w:val="25"/>
          <w:spacing w:val="20"/>
        </w:rPr>
        <w:t>DOWN-PAYMENT HELP FOR FIRST-TIME BUYERS</w:t>
      </w:r>
    </w:p>
    <w:p>
      <w:pPr>
        <w:widowControl/>
        <w:spacing w:before="0" w:after="60" w:lineRule="auto" w:line="276"/>
      </w:pPr>
      <w:r>
        <w:rPr>
          <w:rFonts w:ascii="Arial" w:hAnsi="Arial" w:cs="Arial" w:eastAsia="Arial"/>
          <w:b w:val="0"/>
          <w:i/>
          <w:color w:val="666666"/>
          <w:sz w:val="20"/>
        </w:rPr>
        <w:t>Working-group proposal: down-payment assistance and first-time buyer incentives.</w:t>
      </w:r>
    </w:p>
    <w:p>
      <w:pPr>
        <w:keepLines/>
        <w:widowControl/>
        <w:spacing w:before="0" w:after="100" w:lineRule="auto" w:line="276"/>
      </w:pPr>
      <w:r>
        <w:rPr>
          <w:rFonts w:ascii="Arial" w:hAnsi="Arial" w:cs="Arial" w:eastAsia="Arial"/>
          <w:b/>
          <w:color w:val="1A2D4F"/>
          <w:sz w:val="20"/>
        </w:rPr>
        <w:t>This is the housing lane with genuine cross-party Senate support.</w:t>
      </w:r>
      <w:r>
        <w:rPr>
          <w:rFonts w:ascii="Arial" w:hAnsi="Arial" w:cs="Arial" w:eastAsia="Arial"/>
          <w:b w:val="0"/>
          <w:color w:val="444444"/>
          <w:sz w:val="20"/>
        </w:rPr>
        <w:t xml:space="preserve"> SB193 (2025), the state pilot buying down mortgage interest rates for eligible first-home borrowers, passed the Senate 14–5 with three Republicans among the fourteen — then died in the Assembly without a vote. The enacted precedent, SB188 (2021), created donor-funded matched-savings accounts toward a first home after the same idea died on the Senate floor in 2019: a design that returned and passed.</w:t>
      </w:r>
    </w:p>
    <w:p>
      <w:pPr>
        <w:keepLines/>
        <w:widowControl/>
        <w:spacing w:before="0" w:after="100" w:lineRule="auto" w:line="276"/>
      </w:pPr>
      <w:r>
        <w:rPr>
          <w:rFonts w:ascii="Arial" w:hAnsi="Arial" w:cs="Arial" w:eastAsia="Arial"/>
          <w:b/>
          <w:color w:val="1A2D4F"/>
          <w:sz w:val="20"/>
        </w:rPr>
        <w:t>Most first-buyer help never touches session law.</w:t>
      </w:r>
      <w:r>
        <w:rPr>
          <w:rFonts w:ascii="Arial" w:hAnsi="Arial" w:cs="Arial" w:eastAsia="Arial"/>
          <w:b w:val="0"/>
          <w:color w:val="444444"/>
          <w:sz w:val="20"/>
        </w:rPr>
        <w:t xml:space="preserve"> Nevada's standing homebuyer programs run through the Housing Division's bond authority rather than statute, which is why the record looks thinner than the activity. Federally, FHA and VA loans already lower down-payment barriers, while proposed federal down-payment tax credits have not passed — so a state program supplements rather than duplicates what exists.</w:t>
      </w:r>
    </w:p>
    <w:p>
      <w:pPr>
        <w:widowControl/>
        <w:spacing w:before="40" w:after="0" w:lineRule="auto" w:line="254"/>
        <w:pBdr>
          <w:top w:val="single" w:sz="6" w:space="4" w:color="C8CDD6"/>
        </w:pBdr>
      </w:pPr>
      <w:r>
        <w:rPr>
          <w:rFonts w:ascii="Arial" w:hAnsi="Arial" w:cs="Arial" w:eastAsia="Arial"/>
          <w:b w:val="0"/>
          <w:color w:val="666666"/>
          <w:sz w:val="20"/>
          <w:spacing w:val="4"/>
        </w:rPr>
        <w:t>Companion to the citizen brief v3.0; proposals from the working-group rubric</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