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Proposal Spotlights — K-12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close look at the legislative record behind each proposal the working group short-listed, with committee paths, sponsor detail, and bills beyond what the citizen brief (v3.0) carries.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PER-PUPIL FUNDING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proposals: two designs for raising per-pupil funding.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machinery exists; the guarantee keeps dying silently.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Pupil-Centered Funding Plan (SB543, 2019, 18–3 and 34–7) rebuilt how dollars follow pupils; SB439 (2021) rebuilt its revenue streams; and the biennium acts fund it (SB503 in 2023; SB500 in 2025, 42–0 and 13–8). The one new revenue source in the record — AB495 (2021), the gold-and-silver mining tax routed to education — passed 28–14 and 16–5. What has never survived is a floor test of a funding floor: AB459 (2023), requiring the education budget to at least keep pace with inflation plus enrollment, died in Assembly Ways and Means, and its 2025 successor died in Senate Finance — both without a vote of any kind. The statutory Commission on School Funding already calculates what full funding would take, so a funding-floor bill would arrive with its price tag pre-computed — and the money committees, where both attempts stopped, are the decisive audience.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CHRONIC ABSENTEEISM AND STUDENT SUPPORTS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address chronic absenteeism and provide integrated student supports — mental health and socioeconomic.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Absenteeism bills exist, and the pattern is specific: measurement passes one chamber, then stalls.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Assemblymember Brittney Miller (D, still serving) twice passed the Assembly with bills requiring accountability reporting on the achievement of chronically absent pupils — AB339 (2023) and AB391 (2025) — and both died in the Senate. The statewide-policy design died earliest: SB79 (2019), requiring a statewide chronic-absenteeism policy and training, never left Senate Education, and AB531 (2025), a real-time attendance dashboard plus a metrics task force, died in Assembly Education. What passed is narrower: SB249 (2021, Senator Marilyn Dondero Loop, D, still serving) excused behavioral-health absences and put crisis lines on pupil IDs, and AB264 (2023) protected credit for religious-holiday absences.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supports side is already half-built.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staffing framework — counselors, psychologists, social workers "to the extent money is available" — is law (SB319 of 2019; SB151 of 2021; SB277 of 2025), and restorative-discipline requirements passed in 2019 (AB168). The unconditional versions and add-on mandates die in committee. An integrated-supports proposal would inherit that split: funded frameworks pass, unfunded mandates stop.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CAREER PATHWAYS AND HANDS-ON LEARNING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expand career and workforce pathways from K-12 to trade school or college, life skills, and hands-on learning.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big structural designs died young — repeatedly.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2019 work-based-learning package (AB318, AB359, AB392 — district policies, employer networks, certified employers with pupil insurance), all Republican-carried, died in first committees, as did the union-and-trade-group CTE teaching bills (AB199 of 2019, AB208 of 2021) and Senator Scott Hammond's 2021 trio steering career-technical education toward high-need industries (SB220, SB226, SB265). Hammond has since left the Legislature, and no one has refiled the network-scale designs.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What passes is incremental — and recently, steadily.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AB38 (2021) streamlined CTE advisory committees and work-based learning rules; AB207 (2023) let schools insure pupils in work-based learning; AB256 (2023) streamlined program approvals; AB241 (2023) made the college-and-career-ready course load the default high-school enrollment; AB539 (2025) authorized career coaches in middle and junior high schools; and SB45 (2025) refocused CTE grants on advanced courses. The financial-literacy credit — the record's cleanest life-skills win — passed 40–0 and 20–0 (AB274, 2023). Two lanes are visible: employer-network structures have never cleared a committee, while school-side pathway machinery has passed in every session since 2021.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to the citizen brief v3.0; proposals from the working-group rubric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