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Rule="auto" w:line="254"/>
      </w:pPr>
      <w:r>
        <w:rPr>
          <w:rFonts w:ascii="Arial" w:hAnsi="Arial" w:cs="Arial" w:eastAsia="Arial"/>
          <w:b/>
          <w:color w:val="1A2D4F"/>
          <w:sz w:val="18"/>
          <w:spacing w:val="20"/>
        </w:rPr>
        <w:t>T H E   F O R U M</w:t>
      </w:r>
    </w:p>
    <w:p>
      <w:pPr>
        <w:spacing w:before="0" w:after="120" w:lineRule="auto" w:line="254"/>
        <w:pBdr>
          <w:bottom w:val="single" w:sz="20" w:space="2" w:color="1A2D4F"/>
        </w:pBdr>
      </w:pPr>
    </w:p>
    <w:p>
      <w:pPr>
        <w:spacing w:before="0" w:after="40" w:lineRule="auto" w:line="252"/>
      </w:pPr>
      <w:r>
        <w:rPr>
          <w:rFonts w:ascii="Arial" w:hAnsi="Arial" w:cs="Arial" w:eastAsia="Arial"/>
          <w:b/>
          <w:color w:val="1A2D4F"/>
          <w:sz w:val="34"/>
        </w:rPr>
        <w:t>Housing Affordability in Nevada</w:t>
      </w:r>
    </w:p>
    <w:p>
      <w:pPr>
        <w:spacing w:before="0" w:after="120" w:lineRule="auto" w:line="254"/>
      </w:pPr>
      <w:r>
        <w:rPr>
          <w:rFonts w:ascii="Arial" w:hAnsi="Arial" w:cs="Arial" w:eastAsia="Arial"/>
          <w:b w:val="0"/>
          <w:color w:val="444444"/>
          <w:sz w:val="17"/>
        </w:rPr>
        <w:t>The legislative record behind Nevadans' ten most common housing proposals, 2019–2025.</w:t>
      </w:r>
    </w:p>
    <w:p>
      <w:pPr>
        <w:spacing w:before="120" w:after="60" w:lineRule="auto" w:line="254"/>
      </w:pPr>
      <w:r>
        <w:rPr>
          <w:rFonts w:ascii="Arial" w:hAnsi="Arial" w:cs="Arial" w:eastAsia="Arial"/>
          <w:b/>
          <w:color w:val="C0392B"/>
          <w:sz w:val="21"/>
          <w:spacing w:val="20"/>
        </w:rPr>
        <w:t>THE LEGISLATIVE LANDSCAPE</w:t>
      </w:r>
    </w:p>
    <w:p>
      <w:pPr>
        <w:spacing w:before="0" w:after="80" w:lineRule="auto" w:line="254"/>
        <w:jc w:val="both"/>
      </w:pPr>
      <w:r>
        <w:rPr>
          <w:rFonts w:ascii="Arial" w:hAnsi="Arial" w:cs="Arial" w:eastAsia="Arial"/>
          <w:b w:val="0"/>
          <w:color w:val="444444"/>
          <w:sz w:val="18"/>
        </w:rPr>
        <w:t>Nevada's Legislature took up 149 housing bills across its 2019, 2021, 2023, and 2025 sessions; 63 became law. The pattern shifted sharply mid-record. Through 2021, housing bills mostly died in their first committee — 43 did so across the record, concentrated in the Commerce and Labor and Government Affairs committees. Since 2023 the chokepoint has moved to the governor's desk: nine housing bills passed both houses in 2023 and were vetoed, and six more in 2025 — renter-cost, eviction, discrimination, and corporate-ownership bills almost without exception. The 2025 session produced the most housing bills in the record and the worst pass rate, 15 of 48, while its biggest supply and money measures passed unanimously or nearly so.</w:t>
      </w:r>
    </w:p>
    <w:p>
      <w:pPr>
        <w:spacing w:before="120" w:after="60" w:lineRule="auto" w:line="254"/>
      </w:pPr>
      <w:r>
        <w:rPr>
          <w:rFonts w:ascii="Arial" w:hAnsi="Arial" w:cs="Arial" w:eastAsia="Arial"/>
          <w:b/>
          <w:color w:val="C0392B"/>
          <w:sz w:val="21"/>
          <w:spacing w:val="20"/>
        </w:rPr>
        <w:t>KEY NUMBERS</w:t>
      </w:r>
    </w:p>
    <w:tbl>
      <w:tblPr>
        <w:tblW w:type="auto" w:w="0"/>
        <w:jc w:val="center"/>
        <w:tblLayout w:type="autofit"/>
        <w:tblLook w:firstColumn="1" w:firstRow="1" w:lastColumn="0" w:lastRow="0" w:noHBand="0" w:noVBand="1" w:val="04A0"/>
      </w:tblPr>
      <w:tblGrid>
        <w:gridCol w:w="2102"/>
        <w:gridCol w:w="2102"/>
        <w:gridCol w:w="2102"/>
        <w:gridCol w:w="2102"/>
        <w:gridCol w:w="2102"/>
      </w:tblGrid>
      <w:tr>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0"/>
              </w:rPr>
              <w:t>149</w:t>
            </w:r>
          </w:p>
          <w:p>
            <w:pPr>
              <w:spacing w:after="0" w:line="240" w:lineRule="auto"/>
            </w:pPr>
            <w:r>
              <w:rPr>
                <w:rFonts w:ascii="Arial" w:hAnsi="Arial" w:cs="Arial" w:eastAsia="Arial"/>
                <w:b w:val="0"/>
                <w:color w:val="666666"/>
                <w:sz w:val="13"/>
              </w:rPr>
              <w:t>housing bills, 2019–2025</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0"/>
              </w:rPr>
              <w:t>63</w:t>
            </w:r>
          </w:p>
          <w:p>
            <w:pPr>
              <w:spacing w:after="0" w:line="240" w:lineRule="auto"/>
            </w:pPr>
            <w:r>
              <w:rPr>
                <w:rFonts w:ascii="Arial" w:hAnsi="Arial" w:cs="Arial" w:eastAsia="Arial"/>
                <w:b w:val="0"/>
                <w:color w:val="666666"/>
                <w:sz w:val="13"/>
              </w:rPr>
              <w:t>became law</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0"/>
              </w:rPr>
              <w:t>16</w:t>
            </w:r>
          </w:p>
          <w:p>
            <w:pPr>
              <w:spacing w:after="0" w:line="240" w:lineRule="auto"/>
            </w:pPr>
            <w:r>
              <w:rPr>
                <w:rFonts w:ascii="Arial" w:hAnsi="Arial" w:cs="Arial" w:eastAsia="Arial"/>
                <w:b w:val="0"/>
                <w:color w:val="666666"/>
                <w:sz w:val="13"/>
              </w:rPr>
              <w:t>vetoes — 15 of them in 2023 and 2025</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23"/>
              </w:rPr>
              <w:t>2 of 10</w:t>
            </w:r>
          </w:p>
          <w:p>
            <w:pPr>
              <w:spacing w:after="0" w:line="240" w:lineRule="auto"/>
            </w:pPr>
            <w:r>
              <w:rPr>
                <w:rFonts w:ascii="Arial" w:hAnsi="Arial" w:cs="Arial" w:eastAsia="Arial"/>
                <w:b w:val="0"/>
                <w:color w:val="666666"/>
                <w:sz w:val="13"/>
              </w:rPr>
              <w:t>of Nevadans' most common proposals have never been filed as a bill</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23"/>
              </w:rPr>
              <w:t>1 vote</w:t>
            </w:r>
          </w:p>
          <w:p>
            <w:pPr>
              <w:spacing w:after="0" w:line="240" w:lineRule="auto"/>
            </w:pPr>
            <w:r>
              <w:rPr>
                <w:rFonts w:ascii="Arial" w:hAnsi="Arial" w:cs="Arial" w:eastAsia="Arial"/>
                <w:b w:val="0"/>
                <w:color w:val="666666"/>
                <w:sz w:val="13"/>
              </w:rPr>
              <w:t>the margin by which the corporate-purchase cap missed a required two-thirds majority in the November 2025 special session</w:t>
            </w:r>
          </w:p>
        </w:tc>
      </w:tr>
    </w:tbl>
    <w:p>
      <w:pPr>
        <w:spacing w:before="0" w:after="100" w:lineRule="auto" w:line="254"/>
      </w:pPr>
    </w:p>
    <w:p>
      <w:pPr>
        <w:spacing w:before="120" w:after="60" w:lineRule="auto" w:line="254"/>
      </w:pPr>
      <w:r>
        <w:rPr>
          <w:rFonts w:ascii="Arial" w:hAnsi="Arial" w:cs="Arial" w:eastAsia="Arial"/>
          <w:b/>
          <w:color w:val="C0392B"/>
          <w:sz w:val="21"/>
          <w:spacing w:val="20"/>
        </w:rPr>
        <w:t>PROPOSALS WITH NO BILL ON RECORD</w:t>
      </w:r>
    </w:p>
    <w:p>
      <w:pPr>
        <w:spacing w:before="0" w:after="80" w:lineRule="auto" w:line="254"/>
        <w:jc w:val="both"/>
      </w:pPr>
      <w:r>
        <w:rPr>
          <w:rFonts w:ascii="Arial" w:hAnsi="Arial" w:cs="Arial" w:eastAsia="Arial"/>
          <w:b/>
          <w:color w:val="1A2D4F"/>
          <w:sz w:val="18"/>
        </w:rPr>
        <w:t>Inclusionary requirements.</w:t>
      </w:r>
      <w:r>
        <w:rPr>
          <w:rFonts w:ascii="Arial" w:hAnsi="Arial" w:cs="Arial" w:eastAsia="Arial"/>
          <w:b w:val="0"/>
          <w:color w:val="444444"/>
          <w:sz w:val="18"/>
        </w:rPr>
        <w:t xml:space="preserve"> No bill has ever mandated that developments include a percentage of affordable units, statewide or locally. The record's fight sits one step earlier — whether local governments may impose such conditions at all: SB371 (2023), confirming local power to enact any affordable-housing ordinance not expressly barred by statute, passed the Senate 12–9 and the Assembly 26–14 and was vetoed; the 2025 retry, SB289, died in Senate Government Affairs. The nearest filed designs let developers pay instead of build: in-lieu contribution funds (AB331 and AB334 of 2021) died in their first committee.</w:t>
      </w:r>
    </w:p>
    <w:p>
      <w:pPr>
        <w:spacing w:before="0" w:after="80" w:lineRule="auto" w:line="254"/>
        <w:jc w:val="both"/>
      </w:pPr>
      <w:r>
        <w:rPr>
          <w:rFonts w:ascii="Arial" w:hAnsi="Arial" w:cs="Arial" w:eastAsia="Arial"/>
          <w:b/>
          <w:color w:val="1A2D4F"/>
          <w:sz w:val="18"/>
        </w:rPr>
        <w:t>Loan forgiveness and homebuying subsidies for high-demand professions.</w:t>
      </w:r>
      <w:r>
        <w:rPr>
          <w:rFonts w:ascii="Arial" w:hAnsi="Arial" w:cs="Arial" w:eastAsia="Arial"/>
          <w:b w:val="0"/>
          <w:color w:val="444444"/>
          <w:sz w:val="18"/>
        </w:rPr>
        <w:t xml:space="preserve"> The design participants described — the rural-medicine model, applied to teachers, firefighters, and nurses buying homes — has never been filed. The template exists: the state's loan-repayment program for health providers in underserved communities is in statute and was expanded twice in 2025 (AB269, SB266). The nearest housing attempts came close and stopped: SB47 (2023), letting school districts build or rent homes for their own employees, died on the Senate floor, and the 2025 rate buy-down pilot selected borrowers by income, not profession.</w:t>
      </w:r>
    </w:p>
    <w:p>
      <w:pPr>
        <w:spacing w:before="120" w:after="60" w:lineRule="auto" w:line="254"/>
      </w:pPr>
      <w:r>
        <w:rPr>
          <w:rFonts w:ascii="Arial" w:hAnsi="Arial" w:cs="Arial" w:eastAsia="Arial"/>
          <w:b/>
          <w:color w:val="C0392B"/>
          <w:sz w:val="21"/>
          <w:spacing w:val="20"/>
        </w:rPr>
        <w:t>PROPOSALS THAT REACHED THE LEGISLATURE AND STALLED</w:t>
      </w:r>
    </w:p>
    <w:p>
      <w:pPr>
        <w:spacing w:before="0" w:after="80" w:lineRule="auto" w:line="254"/>
        <w:jc w:val="both"/>
      </w:pPr>
      <w:r>
        <w:rPr>
          <w:rFonts w:ascii="Arial" w:hAnsi="Arial" w:cs="Arial" w:eastAsia="Arial"/>
          <w:b/>
          <w:color w:val="1A2D4F"/>
          <w:sz w:val="18"/>
        </w:rPr>
        <w:t>Limits on corporate ownership of housing.</w:t>
      </w:r>
      <w:r>
        <w:rPr>
          <w:rFonts w:ascii="Arial" w:hAnsi="Arial" w:cs="Arial" w:eastAsia="Arial"/>
          <w:b w:val="0"/>
          <w:color w:val="444444"/>
          <w:sz w:val="18"/>
        </w:rPr>
        <w:t xml:space="preserve"> The most-advanced unfinished idea in the record — it has now failed three different ways. SB395 (2023) capped corporate and LLC home purchases at 1,000 a year statewide, passed the Senate 14–6 and the Assembly 28–14, and was vetoed. SB391 (2025) cut the cap to 100 homes, passed the Senate 13–8, and died in the Assembly. In the November 2025 special session, SB10 — a 1,000-unit cap plus an investor registry — passed the Senate 18–0 and lost the Assembly vote 27–10: its fee provisions required a two-thirds majority, 28 of 42. What is law is a study: AB457 (2025) has an interim committee examining how corporate rental-property owners are taxed, reporting for 2027.</w:t>
      </w:r>
    </w:p>
    <w:p>
      <w:pPr>
        <w:spacing w:before="0" w:after="80" w:lineRule="auto" w:line="254"/>
        <w:jc w:val="both"/>
      </w:pPr>
      <w:r>
        <w:rPr>
          <w:rFonts w:ascii="Arial" w:hAnsi="Arial" w:cs="Arial" w:eastAsia="Arial"/>
          <w:b/>
          <w:color w:val="1A2D4F"/>
          <w:sz w:val="18"/>
        </w:rPr>
        <w:t>Guardrails on rent increases.</w:t>
      </w:r>
      <w:r>
        <w:rPr>
          <w:rFonts w:ascii="Arial" w:hAnsi="Arial" w:cs="Arial" w:eastAsia="Arial"/>
          <w:b w:val="0"/>
          <w:color w:val="444444"/>
          <w:sz w:val="18"/>
        </w:rPr>
        <w:t xml:space="preserve"> Participants predicted rent regulation "will get shut down quickly," and the record agrees — in both directions. The general design, capping annual increases at a published cost-of-living rate, died twice in 2023 without reaching an Assembly floor vote (AB362 in committee, SB426 on the Senate floor). The one cap that passed — SB275 (2023), for manufactured home parks, aimed at seniors on fixed incomes — cleared both houses 13–8 and 28–14 and was vetoed; the 2025 retry died in committee. The mirror-image bills banning local rent control (SB123 and AB443, 2025) also died in their first committees. Nevada law today neither caps rents nor forbids cities from trying.</w:t>
      </w:r>
    </w:p>
    <w:p>
      <w:pPr>
        <w:spacing w:before="0" w:after="80" w:lineRule="auto" w:line="254"/>
        <w:jc w:val="both"/>
      </w:pPr>
      <w:r>
        <w:rPr>
          <w:rFonts w:ascii="Arial" w:hAnsi="Arial" w:cs="Arial" w:eastAsia="Arial"/>
          <w:b/>
          <w:color w:val="1A2D4F"/>
          <w:sz w:val="18"/>
        </w:rPr>
        <w:t>Developers funding infrastructure and affordable housing.</w:t>
      </w:r>
      <w:r>
        <w:rPr>
          <w:rFonts w:ascii="Arial" w:hAnsi="Arial" w:cs="Arial" w:eastAsia="Arial"/>
          <w:b w:val="0"/>
          <w:color w:val="444444"/>
          <w:sz w:val="18"/>
        </w:rPr>
        <w:t xml:space="preserve"> SB99 (2025) authorized the two big metros to charge residential developers a linkage fee dedicated to affordable housing; it passed the Senate 14–6 and the Assembly 27–15, was delivered to the governor on May 27, 2025, and the official history ends there — no signature, no chapter, not law. The quieter versions died in Government Affairs committees: developer in-lieu funds (2021) and school impact fees (SB471, 2019). The one enacted bill in this space runs the other way — SB103 (2019) lets local governments reduce or subsidize fees for affordable-housing projects.</w:t>
      </w:r>
    </w:p>
    <w:p>
      <w:pPr>
        <w:spacing w:before="0" w:after="80" w:lineRule="auto" w:line="254"/>
        <w:jc w:val="both"/>
      </w:pPr>
      <w:r>
        <w:rPr>
          <w:rFonts w:ascii="Arial" w:hAnsi="Arial" w:cs="Arial" w:eastAsia="Arial"/>
          <w:b/>
          <w:color w:val="1A2D4F"/>
          <w:sz w:val="18"/>
        </w:rPr>
        <w:t>Down payment and first-time-buyer help.</w:t>
      </w:r>
      <w:r>
        <w:rPr>
          <w:rFonts w:ascii="Arial" w:hAnsi="Arial" w:cs="Arial" w:eastAsia="Arial"/>
          <w:b w:val="0"/>
          <w:color w:val="444444"/>
          <w:sz w:val="18"/>
        </w:rPr>
        <w:t xml:space="preserve"> SB193 (2025) ordered a state pilot buying down mortgage interest rates for eligible first-home borrowers; it passed the Senate 14–5 and died in the Assembly. What passed is adjacent: SB188 (2021) created donor-funded matched-savings accounts usable toward a first home, after the same idea died on the Senate floor in 2019. Nevada's existing homebuyer programs operate through the Housing Division's bond authority rather than session-by-session statute.</w:t>
      </w:r>
    </w:p>
    <w:p>
      <w:pPr>
        <w:spacing w:before="0" w:after="80" w:lineRule="auto" w:line="254"/>
        <w:jc w:val="both"/>
      </w:pPr>
      <w:r>
        <w:rPr>
          <w:rFonts w:ascii="Arial" w:hAnsi="Arial" w:cs="Arial" w:eastAsia="Arial"/>
          <w:b/>
          <w:color w:val="1A2D4F"/>
          <w:sz w:val="18"/>
        </w:rPr>
        <w:t>Incentives for starter, tiny, and modular homes.</w:t>
      </w:r>
      <w:r>
        <w:rPr>
          <w:rFonts w:ascii="Arial" w:hAnsi="Arial" w:cs="Arial" w:eastAsia="Arial"/>
          <w:b w:val="0"/>
          <w:color w:val="444444"/>
          <w:sz w:val="18"/>
        </w:rPr>
        <w:t xml:space="preserve"> The incentive design was filed once: SB430 (2025) offered tax credits and abatements to builders of single-family homes sold at cost to moderate-income buyers, with resale protections keeping the homes away from corporate investors. It died in Senate Revenue and Economic Development without a vote. The legal-status side is settled: SB150 (2021) made large jurisdictions allow tiny houses in some zones, and AB38 (2025) modernized the factory-built housing code, 40–2 and 17–3.</w:t>
      </w:r>
    </w:p>
    <w:p>
      <w:pPr>
        <w:spacing w:before="120" w:after="60" w:lineRule="auto" w:line="254"/>
      </w:pPr>
      <w:r>
        <w:rPr>
          <w:rFonts w:ascii="Arial" w:hAnsi="Arial" w:cs="Arial" w:eastAsia="Arial"/>
          <w:b/>
          <w:color w:val="C0392B"/>
          <w:sz w:val="21"/>
          <w:spacing w:val="20"/>
        </w:rPr>
        <w:t>WHERE PRECEDENT EXISTS</w:t>
      </w:r>
    </w:p>
    <w:p>
      <w:pPr>
        <w:spacing w:before="0" w:after="80" w:lineRule="auto" w:line="254"/>
        <w:jc w:val="both"/>
      </w:pPr>
      <w:r>
        <w:rPr>
          <w:rFonts w:ascii="Arial" w:hAnsi="Arial" w:cs="Arial" w:eastAsia="Arial"/>
          <w:b/>
          <w:color w:val="1A2D4F"/>
          <w:sz w:val="18"/>
        </w:rPr>
        <w:t>Rental fees and fee transparency.</w:t>
      </w:r>
      <w:r>
        <w:rPr>
          <w:rFonts w:ascii="Arial" w:hAnsi="Arial" w:cs="Arial" w:eastAsia="Arial"/>
          <w:b w:val="0"/>
          <w:color w:val="444444"/>
          <w:sz w:val="18"/>
        </w:rPr>
        <w:t xml:space="preserve"> The most-passed, most-vetoed idea in the set. In statute now: the 5 percent late-fee cap (SB151, 2019), a three-day grace period before late fees (AB308, 2021), a ban on charging tenants for repairs the landlord already owes (SB381, 2023 — unanimous in both houses), and all-in advertised rent pricing with fee disclosure (AB121, 2025). Vetoed: application-fee refunds with a plain-language fee appendix (AB298 of 2023, passed 36–6, and again as AB280 of 2025), the 2023 all-in pricing bill (AB218), and the deposits-and-fees bill SB78 (2023). Statewide landlord registries died in first committee in 2021 and 2025.</w:t>
      </w:r>
    </w:p>
    <w:p>
      <w:pPr>
        <w:spacing w:before="0" w:after="80" w:lineRule="auto" w:line="254"/>
        <w:jc w:val="both"/>
      </w:pPr>
      <w:r>
        <w:rPr>
          <w:rFonts w:ascii="Arial" w:hAnsi="Arial" w:cs="Arial" w:eastAsia="Arial"/>
          <w:b/>
          <w:color w:val="1A2D4F"/>
          <w:sz w:val="18"/>
        </w:rPr>
        <w:t>ADUs, smaller lots, and density.</w:t>
      </w:r>
      <w:r>
        <w:rPr>
          <w:rFonts w:ascii="Arial" w:hAnsi="Arial" w:cs="Arial" w:eastAsia="Arial"/>
          <w:b w:val="0"/>
          <w:color w:val="444444"/>
          <w:sz w:val="18"/>
        </w:rPr>
        <w:t xml:space="preserve"> "Nobody has done anything legislatively" was true through 2023 and is not true now. AB396 (2025) requires Clark, Washoe, and the five largest cities to allow accessory dwelling units on residential lots; AB241 (2025) requires every city and county to allow apartments and mixed-use housing by right on commercial land. Both are law. The tax side keeps failing: the property-tax break for ADUs rented to voucher holders died in 2023 and again in 2025 — the second time after a 42–0 Assembly vote.</w:t>
      </w:r>
    </w:p>
    <w:p>
      <w:pPr>
        <w:spacing w:before="0" w:after="80" w:lineRule="auto" w:line="254"/>
        <w:jc w:val="both"/>
      </w:pPr>
      <w:r>
        <w:rPr>
          <w:rFonts w:ascii="Arial" w:hAnsi="Arial" w:cs="Arial" w:eastAsia="Arial"/>
          <w:b/>
          <w:color w:val="1A2D4F"/>
          <w:sz w:val="18"/>
        </w:rPr>
        <w:t>A builders–citizens–legislators working group.</w:t>
      </w:r>
      <w:r>
        <w:rPr>
          <w:rFonts w:ascii="Arial" w:hAnsi="Arial" w:cs="Arial" w:eastAsia="Arial"/>
          <w:b w:val="0"/>
          <w:color w:val="444444"/>
          <w:sz w:val="18"/>
        </w:rPr>
        <w:t xml:space="preserve"> The machinery exists. AB476 (2019), carried by a cross-party sponsor team, recreated the statutory Advisory Committee on Housing, with an annual statewide housing-needs report and the right to request one bill draft per session; it passed 38–2 and 20–0. Study and advisory-body bills are the most reliably enacted kind of housing bill in this record. The 2025 upgrade of the Housing Division's Housing Advocate into a Housing Liaison passed the Assembly 42–0 and died in the Senate at the deadline.</w:t>
      </w:r>
    </w:p>
    <w:p>
      <w:pPr>
        <w:spacing w:before="120" w:after="60" w:lineRule="auto" w:line="254"/>
      </w:pPr>
      <w:r>
        <w:rPr>
          <w:rFonts w:ascii="Arial" w:hAnsi="Arial" w:cs="Arial" w:eastAsia="Arial"/>
          <w:b/>
          <w:color w:val="C0392B"/>
          <w:sz w:val="21"/>
          <w:spacing w:val="20"/>
        </w:rPr>
        <w:t>THE POLITICAL TERRAIN</w:t>
      </w:r>
    </w:p>
    <w:p>
      <w:pPr>
        <w:spacing w:before="0" w:after="80" w:lineRule="auto" w:line="254"/>
        <w:jc w:val="both"/>
      </w:pPr>
      <w:r>
        <w:rPr>
          <w:rFonts w:ascii="Arial" w:hAnsi="Arial" w:cs="Arial" w:eastAsia="Arial"/>
          <w:b w:val="0"/>
          <w:color w:val="444444"/>
          <w:sz w:val="18"/>
        </w:rPr>
        <w:t>Most housing bills come from named lawmakers, not committees — 114 of 149. Senator Julia Ratti (D) built the 2019 baseline (the eviction rewrite, fee caps, and the Housing Crisis Response System, 12 bills in all); Senator Dina Neal (D) carries the corporate-cap and housing-finance line (10). Rent and landlord-tenant bills route through the Commerce and Labor committees, where 11 died in their first committee; local-power, developer-fee, and registry bills route through Government Affairs, which stopped 14. Cross-party sponsor teams appeared on only 16 policy bills — and 13 of the 16 became law. Since 2023, the deciding vote on renter-cost and ownership bills has been cast at the governor's desk.</w:t>
      </w:r>
    </w:p>
    <w:p>
      <w:pPr>
        <w:spacing w:before="120" w:after="60" w:lineRule="auto" w:line="254"/>
      </w:pPr>
      <w:r>
        <w:rPr>
          <w:rFonts w:ascii="Arial" w:hAnsi="Arial" w:cs="Arial" w:eastAsia="Arial"/>
          <w:b/>
          <w:color w:val="C0392B"/>
          <w:sz w:val="21"/>
          <w:spacing w:val="20"/>
        </w:rPr>
        <w:t>NEW LAW FROM THE 2025 SESSION</w:t>
      </w:r>
    </w:p>
    <w:p>
      <w:pPr>
        <w:spacing w:before="0" w:after="80" w:lineRule="auto" w:line="254"/>
        <w:jc w:val="both"/>
      </w:pPr>
      <w:r>
        <w:rPr>
          <w:rFonts w:ascii="Arial" w:hAnsi="Arial" w:cs="Arial" w:eastAsia="Arial"/>
          <w:b w:val="0"/>
          <w:color w:val="444444"/>
          <w:sz w:val="18"/>
        </w:rPr>
        <w:t>AB540 created the Nevada Attainable Housing Account with $133 million, passing the Assembly 42–0. AB396 and AB241 enacted the ADU and by-right density mandates. AB121 made advertised rent an all-in figure. AB211 lets cities force repairs at neglected apartment properties, 41–0. AB475 funded eviction-diversion programs in Clark County, Reno, and rural Nevada, 42–0 and 19–1. AB457 launched the corporate-landlord tax study. The November special session then revised the Windsor Park relocation act (SB6) after the regular-session version died, and fell one vote short on the corporate-purchase cap (SB10).</w:t>
      </w:r>
    </w:p>
    <w:p>
      <w:pPr>
        <w:spacing w:before="160" w:after="0" w:lineRule="auto" w:line="254"/>
        <w:pBdr>
          <w:top w:val="single" w:sz="6" w:space="4" w:color="C8CDD6"/>
        </w:pBdr>
      </w:pPr>
      <w:r>
        <w:rPr>
          <w:rFonts w:ascii="Arial" w:hAnsi="Arial" w:cs="Arial" w:eastAsia="Arial"/>
          <w:b w:val="0"/>
          <w:color w:val="666666"/>
          <w:sz w:val="14"/>
          <w:spacing w:val="12"/>
        </w:rPr>
        <w:t>FULL BILL-BY-BILL DETAIL, VOTES, SPONSORS, AND SOURCES: APPENDICES A–I.</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