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 w:line="276" w:lineRule="auto"/>
        <w:rPr/>
      </w:pPr>
      <w:r>
        <w:rPr>
          <w:rFonts w:ascii="Arial" w:cs="Arial" w:eastAsia="Arial" w:hAnsi="Arial"/>
          <w:b w:val="1"/>
          <w:bCs w:val="1"/>
          <w:color w:val="1a2d4f"/>
          <w:sz w:val="36"/>
          <w:szCs w:val="36"/>
          <w:rtl w:val="0"/>
        </w:rPr>
        <w:t xml:space="preserve">Property Taxes and Revenue Needs in New Hampshire</w:t>
      </w:r>
    </w:p>
    <w:p>
      <w:pPr>
        <w:spacing w:after="120" w:line="276" w:lineRule="auto"/>
        <w:rPr/>
      </w:pPr>
      <w:r>
        <w:rPr>
          <w:rFonts w:ascii="Arial" w:cs="Arial" w:eastAsia="Arial" w:hAnsi="Arial"/>
          <w:color w:val="444444"/>
          <w:sz w:val="20"/>
          <w:szCs w:val="20"/>
          <w:rtl w:val="0"/>
        </w:rPr>
        <w:t xml:space="preserve">The legislative record behind Granite Staters' property-tax and revenue proposals, 2020–2026 — organized by how close each idea has come to becoming law.</w:t>
      </w:r>
    </w:p>
    <w:p>
      <w:pPr>
        <w:spacing w:before="84" w:after="36" w:line="276" w:lineRule="auto"/>
        <w:rPr/>
      </w:pPr>
      <w:r>
        <w:rPr>
          <w:rFonts w:ascii="Arial" w:cs="Arial" w:eastAsia="Arial" w:hAnsi="Arial"/>
          <w:b w:val="1"/>
          <w:bCs w:val="1"/>
          <w:color w:val="c0392b"/>
          <w:sz w:val="25"/>
          <w:szCs w:val="25"/>
          <w:rtl w:val="0"/>
        </w:rPr>
        <w:t xml:space="preserve">WHAT THIS BRIEF COVERS</w:t>
      </w:r>
    </w:p>
    <w:p>
      <w:pPr>
        <w:spacing w:after="49" w:line="276" w:lineRule="auto"/>
        <w:rPr/>
      </w:pPr>
      <w:r>
        <w:rPr>
          <w:rFonts w:ascii="Arial" w:cs="Arial" w:eastAsia="Arial" w:hAnsi="Arial"/>
          <w:color w:val="444444"/>
          <w:sz w:val="20"/>
          <w:szCs w:val="20"/>
          <w:rtl w:val="0"/>
        </w:rPr>
        <w:t xml:space="preserve">New Hampshire's General Court took up 476 property-tax and revenue bills across the 2020–2026 sessions, and 101 became law. The record has a clear shape: relief for specific groups — veterans, the elderly, charities — passes regularly; every attempt to restore a state tax that was cut, or to add a new one, dies in the House; and the changes that actually moved money — the business tax cuts, the interest-and-dividends repeal, the school funding formulas, the end of revenue sharing — were made inside HB2, the budget trailer, on votes cast only on the whole bill.</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476</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tax and revenue bills, 2020–2026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101</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35</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core tax and revenue sections enacted inside the last three budget trailers (HB2)</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1 of 6</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citizen proposals never filed as a bill</w:t>
            </w:r>
            <w:r w:rsidDel="00000000" w:rsidR="00000000" w:rsidRPr="00000000">
              <w:rPr>
                <w:rtl w:val="0"/>
              </w:rPr>
            </w:r>
          </w:p>
        </w:tc>
      </w:tr>
    </w:tbl>
    <w:p>
      <w:pPr>
        <w:spacing w:after="40" w:line="276" w:lineRule="auto"/>
        <w:rPr/>
      </w:pPr>
    </w:p>
    <w:p>
      <w:pPr>
        <w:spacing w:before="84" w:after="36" w:line="276" w:lineRule="auto"/>
        <w:rPr/>
      </w:pPr>
      <w:r>
        <w:rPr>
          <w:rFonts w:ascii="Arial" w:cs="Arial" w:eastAsia="Arial" w:hAnsi="Arial"/>
          <w:b w:val="1"/>
          <w:bCs w:val="1"/>
          <w:color w:val="c0392b"/>
          <w:sz w:val="25"/>
          <w:szCs w:val="25"/>
          <w:rtl w:val="0"/>
        </w:rPr>
        <w:t xml:space="preserve">ALSO IN THE BUDGET BILL (HB2)</w:t>
      </w:r>
    </w:p>
    <w:p>
      <w:pPr>
        <w:spacing w:after="49" w:line="276" w:lineRule="auto"/>
        <w:rPr/>
      </w:pPr>
      <w:r>
        <w:rPr>
          <w:rFonts w:ascii="Arial" w:cs="Arial" w:eastAsia="Arial" w:hAnsi="Arial"/>
          <w:color w:val="444444"/>
          <w:sz w:val="20"/>
          <w:szCs w:val="20"/>
          <w:rtl w:val="0"/>
        </w:rPr>
        <w:t xml:space="preserve">The biggest tax votes of this period were never taken on tax bills. The 2021 trailer cut the business profits tax to 7.6 percent and the business enterprise tax to 0.55 percent, cut the meals and rooms tax from 9 to 8.5 percent, began phasing out the interest and dividends tax, cut the statewide education property tax by $100 million for one year, and created the fund that sends a share of meals-and-rooms revenue to every town. The 2023 trailer moved the interest-and-dividends repeal up two years to January 1, 2025, fixed the education trust fund's share of each business tax at 41 percent, and rewrote school funding around a $4,100 base grant with extraordinary-need aid for property-poor towns. The 2025 trailer cut those trust-fund shares to 39 percent, repealed municipal revenue sharing outright after fifteen years of suspensions, created fiscal capacity disparity aid, swept education-fund surpluses over $20 million into the general fund, ran a tax amnesty, and legalized video lottery terminals with a 31 percent state take. Votes on HB2 are on the whole trailer — never on a single section; the 2025 trailer passed the House by one vote, 184–183.</w:t>
      </w:r>
    </w:p>
    <w:p>
      <w:pPr>
        <w:spacing w:before="84" w:after="36" w:line="276" w:lineRule="auto"/>
        <w:rPr/>
      </w:pPr>
      <w:r>
        <w:rPr>
          <w:rFonts w:ascii="Arial" w:cs="Arial" w:eastAsia="Arial" w:hAnsi="Arial"/>
          <w:b w:val="1"/>
          <w:bCs w:val="1"/>
          <w:color w:val="c0392b"/>
          <w:sz w:val="25"/>
          <w:szCs w:val="25"/>
          <w:rtl w:val="0"/>
        </w:rPr>
        <w:t xml:space="preserve">CLOSEST TO LAW: BILLS THAT PASSED BOTH CHAMBERS</w:t>
      </w:r>
    </w:p>
    <w:p>
      <w:pPr>
        <w:spacing w:after="36" w:line="276" w:lineRule="auto"/>
        <w:rPr/>
      </w:pPr>
      <w:r>
        <w:rPr>
          <w:rFonts w:ascii="Arial" w:cs="Arial" w:eastAsia="Arial" w:hAnsi="Arial"/>
          <w:i w:val="1"/>
          <w:iCs w:val="1"/>
          <w:color w:val="666666"/>
          <w:sz w:val="20"/>
          <w:szCs w:val="20"/>
          <w:rtl w:val="0"/>
        </w:rPr>
        <w:t xml:space="preserve">These bills passed both houses; a veto or the last procedural step stopped them.</w:t>
      </w:r>
    </w:p>
    <w:p>
      <w:pPr>
        <w:spacing w:before="70" w:after="30" w:line="276" w:lineRule="auto"/>
        <w:rPr/>
      </w:pPr>
      <w:r>
        <w:rPr>
          <w:rFonts w:ascii="Arial" w:cs="Arial" w:eastAsia="Arial" w:hAnsi="Arial"/>
          <w:b w:val="1"/>
          <w:bCs w:val="1"/>
          <w:color w:val="2e4a78"/>
          <w:sz w:val="24"/>
          <w:szCs w:val="24"/>
          <w:rtl w:val="0"/>
        </w:rPr>
        <w:t xml:space="preserve">Vetoed at the governor's desk</w:t>
      </w:r>
    </w:p>
    <w:p>
      <w:pPr>
        <w:spacing w:after="49" w:line="276" w:lineRule="auto"/>
        <w:rPr/>
      </w:pPr>
      <w:r>
        <w:rPr>
          <w:rFonts w:ascii="Arial" w:cs="Arial" w:eastAsia="Arial" w:hAnsi="Arial"/>
          <w:b w:val="1"/>
          <w:bCs w:val="1"/>
          <w:color w:val="1a2d4f"/>
          <w:sz w:val="20"/>
          <w:szCs w:val="20"/>
          <w:rtl w:val="0"/>
        </w:rPr>
        <w:t xml:space="preserve">The adequate-education content bill — HB242 (2021).</w:t>
      </w:r>
      <w:r>
        <w:rPr>
          <w:rFonts w:ascii="Arial" w:cs="Arial" w:eastAsia="Arial" w:hAnsi="Arial"/>
          <w:color w:val="444444"/>
          <w:sz w:val="20"/>
          <w:szCs w:val="20"/>
          <w:rtl w:val="0"/>
        </w:rPr>
        <w:t xml:space="preserve"> Passed the House 198–149 and the Senate 13–9, then was vetoed; the override failed 165–182. </w:t>
      </w:r>
      <w:r>
        <w:rPr>
          <w:rFonts w:ascii="Arial" w:cs="Arial" w:eastAsia="Arial" w:hAnsi="Arial"/>
          <w:b w:val="1"/>
          <w:bCs w:val="1"/>
          <w:color w:val="1a2d4f"/>
          <w:sz w:val="20"/>
          <w:szCs w:val="20"/>
          <w:rtl w:val="0"/>
        </w:rPr>
        <w:t xml:space="preserve">The private-community credit — SB63 (2023).</w:t>
      </w:r>
      <w:r>
        <w:rPr>
          <w:rFonts w:ascii="Arial" w:cs="Arial" w:eastAsia="Arial" w:hAnsi="Arial"/>
          <w:color w:val="444444"/>
          <w:sz w:val="20"/>
          <w:szCs w:val="20"/>
          <w:rtl w:val="0"/>
        </w:rPr>
        <w:t xml:space="preserve"> Would have let municipalities credit private-road community owners for services they pay for twice; passed both chambers without a recorded roll call and was vetoed. </w:t>
      </w:r>
      <w:r>
        <w:rPr>
          <w:rFonts w:ascii="Arial" w:cs="Arial" w:eastAsia="Arial" w:hAnsi="Arial"/>
          <w:b w:val="1"/>
          <w:bCs w:val="1"/>
          <w:color w:val="1a2d4f"/>
          <w:sz w:val="20"/>
          <w:szCs w:val="20"/>
          <w:rtl w:val="0"/>
        </w:rPr>
        <w:t xml:space="preserve">The R&amp;D credit expansion — HB1102 (2026)</w:t>
      </w:r>
      <w:r>
        <w:rPr>
          <w:rFonts w:ascii="Arial" w:cs="Arial" w:eastAsia="Arial" w:hAnsi="Arial"/>
          <w:color w:val="444444"/>
          <w:sz w:val="20"/>
          <w:szCs w:val="20"/>
          <w:rtl w:val="0"/>
        </w:rPr>
        <w:t xml:space="preserve"> and </w:t>
      </w:r>
      <w:r>
        <w:rPr>
          <w:rFonts w:ascii="Arial" w:cs="Arial" w:eastAsia="Arial" w:hAnsi="Arial"/>
          <w:b w:val="1"/>
          <w:bCs w:val="1"/>
          <w:color w:val="1a2d4f"/>
          <w:sz w:val="20"/>
          <w:szCs w:val="20"/>
          <w:rtl w:val="0"/>
        </w:rPr>
        <w:t xml:space="preserve">the school-building-aid rider — HB1565 (2026).</w:t>
      </w:r>
      <w:r>
        <w:rPr>
          <w:rFonts w:ascii="Arial" w:cs="Arial" w:eastAsia="Arial" w:hAnsi="Arial"/>
          <w:color w:val="444444"/>
          <w:sz w:val="20"/>
          <w:szCs w:val="20"/>
          <w:rtl w:val="0"/>
        </w:rPr>
        <w:t xml:space="preserve"> Both vetoed, with no override action recorded as of collection.</w:t>
      </w:r>
    </w:p>
    <w:p>
      <w:pPr>
        <w:spacing w:before="70" w:after="30" w:line="276" w:lineRule="auto"/>
        <w:rPr/>
      </w:pPr>
      <w:r>
        <w:rPr>
          <w:rFonts w:ascii="Arial" w:cs="Arial" w:eastAsia="Arial" w:hAnsi="Arial"/>
          <w:b w:val="1"/>
          <w:bCs w:val="1"/>
          <w:color w:val="2e4a78"/>
          <w:sz w:val="24"/>
          <w:szCs w:val="24"/>
          <w:rtl w:val="0"/>
        </w:rPr>
        <w:t xml:space="preserve">Passed both chambers, then died between them</w:t>
      </w:r>
    </w:p>
    <w:p>
      <w:pPr>
        <w:spacing w:after="49" w:line="276" w:lineRule="auto"/>
        <w:rPr/>
      </w:pPr>
      <w:r>
        <w:rPr>
          <w:rFonts w:ascii="Arial" w:cs="Arial" w:eastAsia="Arial" w:hAnsi="Arial"/>
          <w:b w:val="1"/>
          <w:bCs w:val="1"/>
          <w:color w:val="1a2d4f"/>
          <w:sz w:val="20"/>
          <w:szCs w:val="20"/>
          <w:rtl w:val="0"/>
        </w:rPr>
        <w:t xml:space="preserve">The retirement-contribution state share — HB1417 (2022).</w:t>
      </w:r>
      <w:r>
        <w:rPr>
          <w:rFonts w:ascii="Arial" w:cs="Arial" w:eastAsia="Arial" w:hAnsi="Arial"/>
          <w:color w:val="444444"/>
          <w:sz w:val="20"/>
          <w:szCs w:val="20"/>
          <w:rtl w:val="0"/>
        </w:rPr>
        <w:t xml:space="preserve"> The closest call in the record: passed the House 186–159 and won the Senate 22–2 — then the Senate tabled it 14–10 and it died at the end-of-year deadline. </w:t>
      </w:r>
      <w:r>
        <w:rPr>
          <w:rFonts w:ascii="Arial" w:cs="Arial" w:eastAsia="Arial" w:hAnsi="Arial"/>
          <w:b w:val="1"/>
          <w:bCs w:val="1"/>
          <w:color w:val="1a2d4f"/>
          <w:sz w:val="20"/>
          <w:szCs w:val="20"/>
          <w:rtl w:val="0"/>
        </w:rPr>
        <w:t xml:space="preserve">Local games of chance — HB1223 (2024)</w:t>
      </w:r>
      <w:r>
        <w:rPr>
          <w:rFonts w:ascii="Arial" w:cs="Arial" w:eastAsia="Arial" w:hAnsi="Arial"/>
          <w:color w:val="444444"/>
          <w:sz w:val="20"/>
          <w:szCs w:val="20"/>
          <w:rtl w:val="0"/>
        </w:rPr>
        <w:t xml:space="preserve"> died in a conference committee that never agreed; </w:t>
      </w:r>
      <w:r>
        <w:rPr>
          <w:rFonts w:ascii="Arial" w:cs="Arial" w:eastAsia="Arial" w:hAnsi="Arial"/>
          <w:b w:val="1"/>
          <w:bCs w:val="1"/>
          <w:color w:val="1a2d4f"/>
          <w:sz w:val="20"/>
          <w:szCs w:val="20"/>
          <w:rtl w:val="0"/>
        </w:rPr>
        <w:t xml:space="preserve">current use reform — SB504 (2024)</w:t>
      </w:r>
      <w:r>
        <w:rPr>
          <w:rFonts w:ascii="Arial" w:cs="Arial" w:eastAsia="Arial" w:hAnsi="Arial"/>
          <w:color w:val="444444"/>
          <w:sz w:val="20"/>
          <w:szCs w:val="20"/>
          <w:rtl w:val="0"/>
        </w:rPr>
        <w:t xml:space="preserve"> died when the House refused a conference after the Senate passed it 14–10. </w:t>
      </w:r>
      <w:r>
        <w:rPr>
          <w:rFonts w:ascii="Arial" w:cs="Arial" w:eastAsia="Arial" w:hAnsi="Arial"/>
          <w:b w:val="1"/>
          <w:bCs w:val="1"/>
          <w:color w:val="1a2d4f"/>
          <w:sz w:val="20"/>
          <w:szCs w:val="20"/>
          <w:rtl w:val="0"/>
        </w:rPr>
        <w:t xml:space="preserve">Municipal transparency — SB532 (2024)</w:t>
      </w:r>
      <w:r>
        <w:rPr>
          <w:rFonts w:ascii="Arial" w:cs="Arial" w:eastAsia="Arial" w:hAnsi="Arial"/>
          <w:color w:val="444444"/>
          <w:sz w:val="20"/>
          <w:szCs w:val="20"/>
          <w:rtl w:val="0"/>
        </w:rPr>
        <w:t xml:space="preserve"> (posting state funds received) and </w:t>
      </w:r>
      <w:r>
        <w:rPr>
          <w:rFonts w:ascii="Arial" w:cs="Arial" w:eastAsia="Arial" w:hAnsi="Arial"/>
          <w:b w:val="1"/>
          <w:bCs w:val="1"/>
          <w:color w:val="1a2d4f"/>
          <w:sz w:val="20"/>
          <w:szCs w:val="20"/>
          <w:rtl w:val="0"/>
        </w:rPr>
        <w:t xml:space="preserve">the school-building-aid project-manager bills — SB209 (2025) and SB513 (2026)</w:t>
      </w:r>
      <w:r>
        <w:rPr>
          <w:rFonts w:ascii="Arial" w:cs="Arial" w:eastAsia="Arial" w:hAnsi="Arial"/>
          <w:color w:val="444444"/>
          <w:sz w:val="20"/>
          <w:szCs w:val="20"/>
          <w:rtl w:val="0"/>
        </w:rPr>
        <w:t xml:space="preserve"> all passed both chambers in different forms and died when the chambers refused each other's changes, as did </w:t>
      </w:r>
      <w:r>
        <w:rPr>
          <w:rFonts w:ascii="Arial" w:cs="Arial" w:eastAsia="Arial" w:hAnsi="Arial"/>
          <w:b w:val="1"/>
          <w:bCs w:val="1"/>
          <w:color w:val="1a2d4f"/>
          <w:sz w:val="20"/>
          <w:szCs w:val="20"/>
          <w:rtl w:val="0"/>
        </w:rPr>
        <w:t xml:space="preserve">SB643 (2026)</w:t>
      </w:r>
      <w:r>
        <w:rPr>
          <w:rFonts w:ascii="Arial" w:cs="Arial" w:eastAsia="Arial" w:hAnsi="Arial"/>
          <w:color w:val="444444"/>
          <w:sz w:val="20"/>
          <w:szCs w:val="20"/>
          <w:rtl w:val="0"/>
        </w:rPr>
        <w:t xml:space="preserve">, the tax-cap compliance bill, and </w:t>
      </w:r>
      <w:r>
        <w:rPr>
          <w:rFonts w:ascii="Arial" w:cs="Arial" w:eastAsia="Arial" w:hAnsi="Arial"/>
          <w:b w:val="1"/>
          <w:bCs w:val="1"/>
          <w:color w:val="1a2d4f"/>
          <w:sz w:val="20"/>
          <w:szCs w:val="20"/>
          <w:rtl w:val="0"/>
        </w:rPr>
        <w:t xml:space="preserve">HB421 (2025)</w:t>
      </w:r>
      <w:r>
        <w:rPr>
          <w:rFonts w:ascii="Arial" w:cs="Arial" w:eastAsia="Arial" w:hAnsi="Arial"/>
          <w:color w:val="444444"/>
          <w:sz w:val="20"/>
          <w:szCs w:val="20"/>
          <w:rtl w:val="0"/>
        </w:rPr>
        <w:t xml:space="preserve">, the exempt-status notice bill, which died in a conference committee that never agreed.</w:t>
      </w:r>
    </w:p>
    <w:p>
      <w:pPr>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spacing w:after="36" w:line="276" w:lineRule="auto"/>
        <w:rPr/>
      </w:pPr>
      <w:r>
        <w:rPr>
          <w:rFonts w:ascii="Arial" w:cs="Arial" w:eastAsia="Arial" w:hAnsi="Arial"/>
          <w:i w:val="1"/>
          <w:iCs w:val="1"/>
          <w:color w:val="666666"/>
          <w:sz w:val="20"/>
          <w:szCs w:val="20"/>
          <w:rtl w:val="0"/>
        </w:rPr>
        <w:t xml:space="preserve">Each bill won a floor majority — several of them unanimous — before stalling.</w:t>
      </w:r>
    </w:p>
    <w:p>
      <w:pPr>
        <w:spacing w:after="49" w:line="276" w:lineRule="auto"/>
        <w:rPr/>
      </w:pPr>
      <w:r>
        <w:rPr>
          <w:rFonts w:ascii="Arial" w:cs="Arial" w:eastAsia="Arial" w:hAnsi="Arial"/>
          <w:b w:val="1"/>
          <w:bCs w:val="1"/>
          <w:color w:val="1a2d4f"/>
          <w:sz w:val="20"/>
          <w:szCs w:val="20"/>
          <w:rtl w:val="0"/>
        </w:rPr>
        <w:t xml:space="preserve">The retirement-contribution thread.</w:t>
      </w:r>
      <w:r>
        <w:rPr>
          <w:rFonts w:ascii="Arial" w:cs="Arial" w:eastAsia="Arial" w:hAnsi="Arial"/>
          <w:color w:val="444444"/>
          <w:sz w:val="20"/>
          <w:szCs w:val="20"/>
          <w:rtl w:val="0"/>
        </w:rPr>
        <w:t xml:space="preserve"> Towns' most-refiled ask — restoring a state share of local employers' pension contributions — passed the Senate 23–0 as SB114 (2023) and sat on the table; passed 23–0 again as SB20 (2025) and died at the Senate's deadline; and was killed on the House floor 172–159 as HB197 (2026). What survived is HB1221 (2022): a one-time payment worth 7.5 percent of municipal contributions, attached to a business-tax cut.</w:t>
      </w:r>
    </w:p>
    <w:p>
      <w:pPr>
        <w:spacing w:after="49" w:line="276" w:lineRule="auto"/>
        <w:rPr/>
      </w:pPr>
      <w:r>
        <w:rPr>
          <w:rFonts w:ascii="Arial" w:cs="Arial" w:eastAsia="Arial" w:hAnsi="Arial"/>
          <w:b w:val="1"/>
          <w:bCs w:val="1"/>
          <w:color w:val="1a2d4f"/>
          <w:sz w:val="20"/>
          <w:szCs w:val="20"/>
          <w:rtl w:val="0"/>
        </w:rPr>
        <w:t xml:space="preserve">The meals-and-rooms municipal share — SB99 (2021).</w:t>
      </w:r>
      <w:r>
        <w:rPr>
          <w:rFonts w:ascii="Arial" w:cs="Arial" w:eastAsia="Arial" w:hAnsi="Arial"/>
          <w:color w:val="444444"/>
          <w:sz w:val="20"/>
          <w:szCs w:val="20"/>
          <w:rtl w:val="0"/>
        </w:rPr>
        <w:t xml:space="preserve"> Passed the Senate 24–0 and died on the table; months later the 2021 trailer rewrote the distribution and created the municipal revenue fund. The follow-up — requiring towns to use that money to cut tax rates (SB315, 2022) — died at the Senate deadline.</w:t>
      </w:r>
    </w:p>
    <w:p>
      <w:pPr>
        <w:spacing w:after="49" w:line="276" w:lineRule="auto"/>
        <w:rPr/>
      </w:pPr>
      <w:r>
        <w:rPr>
          <w:rFonts w:ascii="Arial" w:cs="Arial" w:eastAsia="Arial" w:hAnsi="Arial"/>
          <w:b w:val="1"/>
          <w:bCs w:val="1"/>
          <w:color w:val="1a2d4f"/>
          <w:sz w:val="20"/>
          <w:szCs w:val="20"/>
          <w:rtl w:val="0"/>
        </w:rPr>
        <w:t xml:space="preserve">Raising the statewide education property tax with the excess going to the state — HB675 (2025).</w:t>
      </w:r>
      <w:r>
        <w:rPr>
          <w:rFonts w:ascii="Arial" w:cs="Arial" w:eastAsia="Arial" w:hAnsi="Arial"/>
          <w:color w:val="444444"/>
          <w:sz w:val="20"/>
          <w:szCs w:val="20"/>
          <w:rtl w:val="0"/>
        </w:rPr>
        <w:t xml:space="preserve"> Passed one House vote 190–185, was sent back to committee, and was killed in January 2026, the reconsideration failing 170–185 on a division vote.</w:t>
      </w:r>
    </w:p>
    <w:p>
      <w:pPr>
        <w:spacing w:after="49" w:line="276" w:lineRule="auto"/>
        <w:rPr/>
      </w:pPr>
      <w:r>
        <w:rPr>
          <w:rFonts w:ascii="Arial" w:cs="Arial" w:eastAsia="Arial" w:hAnsi="Arial"/>
          <w:b w:val="1"/>
          <w:bCs w:val="1"/>
          <w:color w:val="1a2d4f"/>
          <w:sz w:val="20"/>
          <w:szCs w:val="20"/>
          <w:rtl w:val="0"/>
        </w:rPr>
        <w:t xml:space="preserve">The constitutional tax bans.</w:t>
      </w:r>
      <w:r>
        <w:rPr>
          <w:rFonts w:ascii="Arial" w:cs="Arial" w:eastAsia="Arial" w:hAnsi="Arial"/>
          <w:color w:val="444444"/>
          <w:sz w:val="20"/>
          <w:szCs w:val="20"/>
          <w:rtl w:val="0"/>
        </w:rPr>
        <w:t xml:space="preserve"> The income-tax ban (CACR1, 2021) won a House majority 202–171 and the sales-tax ban (CACR2, 2021) won 201–170 — both short of the three-fifths a constitutional amendment needs. CACR15 (2024), requiring a two-thirds vote for new taxes, failed 183–185; the 2026 tax-law-adoption amendments repeated the pattern — CACR10 at 194–158, and CACR12 at 193–148 after passing the Senate 16–8.</w:t>
      </w:r>
    </w:p>
    <w:p>
      <w:pPr>
        <w:spacing w:after="49" w:line="276" w:lineRule="auto"/>
        <w:rPr/>
      </w:pPr>
      <w:r>
        <w:rPr>
          <w:rFonts w:ascii="Arial" w:cs="Arial" w:eastAsia="Arial" w:hAnsi="Arial"/>
          <w:b w:val="1"/>
          <w:bCs w:val="1"/>
          <w:color w:val="1a2d4f"/>
          <w:sz w:val="20"/>
          <w:szCs w:val="20"/>
          <w:rtl w:val="0"/>
        </w:rPr>
        <w:t xml:space="preserve">The e-cigarette tax — HB1699 (2020)</w:t>
      </w:r>
      <w:r>
        <w:rPr>
          <w:rFonts w:ascii="Arial" w:cs="Arial" w:eastAsia="Arial" w:hAnsi="Arial"/>
          <w:color w:val="444444"/>
          <w:sz w:val="20"/>
          <w:szCs w:val="20"/>
          <w:rtl w:val="0"/>
        </w:rPr>
        <w:t xml:space="preserve"> passed the House 172–142 and died on the table. </w:t>
      </w:r>
      <w:r>
        <w:rPr>
          <w:rFonts w:ascii="Arial" w:cs="Arial" w:eastAsia="Arial" w:hAnsi="Arial"/>
          <w:b w:val="1"/>
          <w:bCs w:val="1"/>
          <w:color w:val="1a2d4f"/>
          <w:sz w:val="20"/>
          <w:szCs w:val="20"/>
          <w:rtl w:val="0"/>
        </w:rPr>
        <w:t xml:space="preserve">The local occupancy fee — HB1160 (2020)</w:t>
      </w:r>
      <w:r>
        <w:rPr>
          <w:rFonts w:ascii="Arial" w:cs="Arial" w:eastAsia="Arial" w:hAnsi="Arial"/>
          <w:color w:val="444444"/>
          <w:sz w:val="20"/>
          <w:szCs w:val="20"/>
          <w:rtl w:val="0"/>
        </w:rPr>
        <w:t xml:space="preserve"> passed the House 174–113 and died on the Senate table; refilings died in 2022, 2023, 2024, 2025, and 2026 — the last (SB634) killed 15–9 on the Senate floor. </w:t>
      </w:r>
      <w:r>
        <w:rPr>
          <w:rFonts w:ascii="Arial" w:cs="Arial" w:eastAsia="Arial" w:hAnsi="Arial"/>
          <w:b w:val="1"/>
          <w:bCs w:val="1"/>
          <w:color w:val="1a2d4f"/>
          <w:sz w:val="20"/>
          <w:szCs w:val="20"/>
          <w:rtl w:val="0"/>
        </w:rPr>
        <w:t xml:space="preserve">Tax-impact statements on warrant articles — HB284 (2025)</w:t>
      </w:r>
      <w:r>
        <w:rPr>
          <w:rFonts w:ascii="Arial" w:cs="Arial" w:eastAsia="Arial" w:hAnsi="Arial"/>
          <w:color w:val="444444"/>
          <w:sz w:val="20"/>
          <w:szCs w:val="20"/>
          <w:rtl w:val="0"/>
        </w:rPr>
        <w:t xml:space="preserve"> passed the House 198–160 and was killed on the Senate floor; its twin HB138 became law the same year. </w:t>
      </w:r>
      <w:r>
        <w:rPr>
          <w:rFonts w:ascii="Arial" w:cs="Arial" w:eastAsia="Arial" w:hAnsi="Arial"/>
          <w:b w:val="1"/>
          <w:bCs w:val="1"/>
          <w:color w:val="1a2d4f"/>
          <w:sz w:val="20"/>
          <w:szCs w:val="20"/>
          <w:rtl w:val="0"/>
        </w:rPr>
        <w:t xml:space="preserve">Online gambling — SB104 (2023)</w:t>
      </w:r>
      <w:r>
        <w:rPr>
          <w:rFonts w:ascii="Arial" w:cs="Arial" w:eastAsia="Arial" w:hAnsi="Arial"/>
          <w:color w:val="444444"/>
          <w:sz w:val="20"/>
          <w:szCs w:val="20"/>
          <w:rtl w:val="0"/>
        </w:rPr>
        <w:t xml:space="preserve"> cleared the Senate 13–11 and was indefinitely postponed by the House.</w:t>
      </w:r>
    </w:p>
    <w:p>
      <w:pPr>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spacing w:after="36" w:line="276" w:lineRule="auto"/>
        <w:rPr/>
      </w:pPr>
      <w:r>
        <w:rPr>
          <w:rFonts w:ascii="Arial" w:cs="Arial" w:eastAsia="Arial" w:hAnsi="Arial"/>
          <w:i w:val="1"/>
          <w:iCs w:val="1"/>
          <w:color w:val="666666"/>
          <w:sz w:val="20"/>
          <w:szCs w:val="20"/>
          <w:rtl w:val="0"/>
        </w:rPr>
        <w:t xml:space="preserve">New law settles some ground — and shows where the Legislature keeps building.</w:t>
      </w:r>
    </w:p>
    <w:p>
      <w:pPr>
        <w:spacing w:before="70" w:after="30" w:line="276" w:lineRule="auto"/>
        <w:rPr/>
      </w:pPr>
      <w:r>
        <w:rPr>
          <w:rFonts w:ascii="Arial" w:cs="Arial" w:eastAsia="Arial" w:hAnsi="Arial"/>
          <w:b w:val="1"/>
          <w:bCs w:val="1"/>
          <w:color w:val="2e4a78"/>
          <w:sz w:val="24"/>
          <w:szCs w:val="24"/>
          <w:rtl w:val="0"/>
        </w:rPr>
        <w:t xml:space="preserve">New laws from the 2025–2026 biennium</w:t>
      </w:r>
    </w:p>
    <w:p>
      <w:pPr>
        <w:spacing w:after="49" w:line="276" w:lineRule="auto"/>
        <w:rPr/>
      </w:pPr>
      <w:r>
        <w:rPr>
          <w:rFonts w:ascii="Arial" w:cs="Arial" w:eastAsia="Arial" w:hAnsi="Arial"/>
          <w:color w:val="444444"/>
          <w:sz w:val="20"/>
          <w:szCs w:val="20"/>
          <w:rtl w:val="0"/>
        </w:rPr>
        <w:t xml:space="preserve">Thirty-two tax and revenue laws in two years. Relief for specific groups kept passing: the disabled-veterans waiver (HB99), higher optional veterans' and surviving-spouse credits (HB1494), prior-year charitable exemptions (HB426), the religious-use exemption clarified (SB291), and one-time exemption filing (HB1756). SB83 built something new: a state fund that reimburses towns for the elderly, disabled, blind, and deaf exemptions — financed by the video lottery terminals the budget trailer legalized. Tax caps advanced every year: town budget caps (SB105), override procedures (HB200), a full cap-law rewrite (HB374), and school-district cap questions placed on the 2026 and 2028 state ballots (HB1300). Transparency finally scored: HB138 (2025) put multi-year tax-impact notation on warrant articles, HB1807 (2026) extended it to tax-rate and tax-impact information generally, and SB600 requires quarterly public reports on the general and education trust funds. HB696 settled how utility property taxes and the statewide education property tax apply to power plants, and gaming kept spreading — statewide keno and local games of chance (HB737), longer keno hours (HB591).</w:t>
      </w:r>
    </w:p>
    <w:p>
      <w:pPr>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spacing w:after="49" w:line="276" w:lineRule="auto"/>
        <w:rPr/>
      </w:pPr>
      <w:r>
        <w:rPr>
          <w:rFonts w:ascii="Arial" w:cs="Arial" w:eastAsia="Arial" w:hAnsi="Arial"/>
          <w:color w:val="444444"/>
          <w:sz w:val="20"/>
          <w:szCs w:val="20"/>
          <w:rtl w:val="0"/>
        </w:rPr>
        <w:t xml:space="preserve">The exemption-reimbursement design of SB83 is the opening to watch: it is the first time since revenue sharing ended that the state built a standing mechanism paying towns for property-tax relief, and its funding source — gambling — is the one revenue stream the Legislature keeps expanding (sports-book local options in 2021's HB354, historic horse racing revenue for host communities in 2024's SB472, statewide keno in 2025's HB737, video lottery terminals in the 2025 trailer). Tax caps are the other live front: four cap laws in two years, all in the tightening direction, with the loosening bills (HB1278, HB1383, HB1528, all 2026) dying. On school funding, the aid formulas keep being rebuilt toward property-poor towns — extraordinary need grants (SB420, 2022), then fiscal capacity disparity aid (HB2 2025) — even as every structural SWEPT bill fails; and the ConVal school-funding litigation keeps the pressure on, with the 2025 trailer answering the courts in a declaration of legislative authority rather than a new formula.</w:t>
      </w:r>
    </w:p>
    <w:p>
      <w:pPr>
        <w:spacing w:before="84" w:after="36" w:line="276" w:lineRule="auto"/>
        <w:rPr/>
      </w:pPr>
      <w:r>
        <w:rPr>
          <w:rFonts w:ascii="Arial" w:cs="Arial" w:eastAsia="Arial" w:hAnsi="Arial"/>
          <w:b w:val="1"/>
          <w:bCs w:val="1"/>
          <w:color w:val="c0392b"/>
          <w:sz w:val="25"/>
          <w:szCs w:val="25"/>
          <w:rtl w:val="0"/>
        </w:rPr>
        <w:t xml:space="preserve">LITTLE TRACTION YET: NEVER FILED OR STOPPED EARLY</w:t>
      </w:r>
    </w:p>
    <w:p>
      <w:pPr>
        <w:spacing w:after="36" w:line="276" w:lineRule="auto"/>
        <w:rPr/>
      </w:pPr>
      <w:r>
        <w:rPr>
          <w:rFonts w:ascii="Arial" w:cs="Arial" w:eastAsia="Arial" w:hAnsi="Arial"/>
          <w:i w:val="1"/>
          <w:iCs w:val="1"/>
          <w:color w:val="666666"/>
          <w:sz w:val="20"/>
          <w:szCs w:val="20"/>
          <w:rtl w:val="0"/>
        </w:rPr>
        <w:t xml:space="preserve">One of the six citizen proposals has never been filed in any form; the rest of the untraveled ground stops early, almost always in the House.</w:t>
      </w:r>
    </w:p>
    <w:p>
      <w:pPr>
        <w:spacing w:after="49" w:line="276" w:lineRule="auto"/>
        <w:rPr/>
      </w:pPr>
      <w:r>
        <w:rPr>
          <w:rFonts w:ascii="Arial" w:cs="Arial" w:eastAsia="Arial" w:hAnsi="Arial"/>
          <w:b w:val="1"/>
          <w:bCs w:val="1"/>
          <w:color w:val="1a2d4f"/>
          <w:sz w:val="20"/>
          <w:szCs w:val="20"/>
          <w:rtl w:val="0"/>
        </w:rPr>
        <w:t xml:space="preserve">Restoring the interest and dividends tax. Never filed.</w:t>
      </w:r>
      <w:r>
        <w:rPr>
          <w:rFonts w:ascii="Arial" w:cs="Arial" w:eastAsia="Arial" w:hAnsi="Arial"/>
          <w:color w:val="444444"/>
          <w:sz w:val="20"/>
          <w:szCs w:val="20"/>
          <w:rtl w:val="0"/>
        </w:rPr>
        <w:t xml:space="preserve"> The tax ended January 1, 2025 — the repeal was enacted inside two budget trailers, never as a standalone law — and no bill since has proposed bringing it back. While it lived, the adjustment bills died in both chambers: SB261 (2023) 13–10 on the Senate floor, HB192 (2024) in the House, HB1492 (2024) in interim study.</w:t>
      </w:r>
    </w:p>
    <w:p>
      <w:pPr>
        <w:spacing w:after="49" w:line="276" w:lineRule="auto"/>
        <w:rPr/>
      </w:pPr>
      <w:r>
        <w:rPr>
          <w:rFonts w:ascii="Arial" w:cs="Arial" w:eastAsia="Arial" w:hAnsi="Arial"/>
          <w:b w:val="1"/>
          <w:bCs w:val="1"/>
          <w:color w:val="1a2d4f"/>
          <w:sz w:val="20"/>
          <w:szCs w:val="20"/>
          <w:rtl w:val="0"/>
        </w:rPr>
        <w:t xml:space="preserve">Consolidation incentives. Never filed — and the mandates failed.</w:t>
      </w:r>
      <w:r>
        <w:rPr>
          <w:rFonts w:ascii="Arial" w:cs="Arial" w:eastAsia="Arial" w:hAnsi="Arial"/>
          <w:color w:val="444444"/>
          <w:sz w:val="20"/>
          <w:szCs w:val="20"/>
          <w:rtl w:val="0"/>
        </w:rPr>
        <w:t xml:space="preserve"> No bill proposes state incentives for towns or districts to regionalize services. Mandatory consolidation of school administrative units was filed and failed twice: HB765 (2025) died on a unanimous 18–0 Inexpedient to Legislate committee report, its refile HB1804 (2026) sits in interim study, and the school-building consolidation planning bill (HB1818, 2026) died on the Senate table. The rest of the active legislation runs the other way: easier withdrawal from cooperative school districts (HB530 2023; HB1374 2026), Derry absorbing its district (HB1331, 2026), unilateral-withdrawal study (HB1644, 2026).</w:t>
      </w:r>
    </w:p>
    <w:p>
      <w:pPr>
        <w:spacing w:after="49" w:line="276" w:lineRule="auto"/>
        <w:rPr/>
      </w:pPr>
      <w:r>
        <w:rPr>
          <w:rFonts w:ascii="Arial" w:cs="Arial" w:eastAsia="Arial" w:hAnsi="Arial"/>
          <w:b w:val="1"/>
          <w:bCs w:val="1"/>
          <w:color w:val="1a2d4f"/>
          <w:sz w:val="20"/>
          <w:szCs w:val="20"/>
          <w:rtl w:val="0"/>
        </w:rPr>
        <w:t xml:space="preserve">New broad-based revenue.</w:t>
      </w:r>
      <w:r>
        <w:rPr>
          <w:rFonts w:ascii="Arial" w:cs="Arial" w:eastAsia="Arial" w:hAnsi="Arial"/>
          <w:color w:val="444444"/>
          <w:sz w:val="20"/>
          <w:szCs w:val="20"/>
          <w:rtl w:val="0"/>
        </w:rPr>
        <w:t xml:space="preserve"> Every new-tax bill died fast: the electronics tax 320–11 (HB1492, 2020), the vacancy tax (HB1707, 2026), the luxury second-home assessment tabled 189–158 with the rescue motion failing 100–235 (HB1786, 2026). Even studying revenue options was killed on the floor twice in 2026 — the Department of Revenue Administration study 284–76 (HB1636) and the education-funding alternatives study 195–157 (HB491). Marijuana taxation (HB722, 2020) and hemp taxation (SB485, 2026) sit in interim study, and both tobacco-tax raises died in the House (HB290, 2025; HB1596, 2026, killed 200–157).</w:t>
      </w:r>
    </w:p>
    <w:p>
      <w:pPr>
        <w:spacing w:after="49" w:line="276" w:lineRule="auto"/>
        <w:rPr/>
      </w:pPr>
      <w:r>
        <w:rPr>
          <w:rFonts w:ascii="Arial" w:cs="Arial" w:eastAsia="Arial" w:hAnsi="Arial"/>
          <w:b w:val="1"/>
          <w:bCs w:val="1"/>
          <w:color w:val="1a2d4f"/>
          <w:sz w:val="20"/>
          <w:szCs w:val="20"/>
          <w:rtl w:val="0"/>
        </w:rPr>
        <w:t xml:space="preserve">Restoring the business taxes.</w:t>
      </w:r>
      <w:r>
        <w:rPr>
          <w:rFonts w:ascii="Arial" w:cs="Arial" w:eastAsia="Arial" w:hAnsi="Arial"/>
          <w:color w:val="444444"/>
          <w:sz w:val="20"/>
          <w:szCs w:val="20"/>
          <w:rtl w:val="0"/>
        </w:rPr>
        <w:t xml:space="preserve"> Rate-restoration bills died in 2020 (HB623), 2021–22 (HB10), and 2024 (HB1422, interim study); the bills raising the education trust fund's business-tax share (HB255, HB318, 2025) died months before the trailer cut that share; the low-wage-employer surcharge was crushed 304–40 (HB1478, 2022). The meals-and-rooms rate-raise (HB1480, 2026) died too — as did the full-repeal bills (HB1546, HB1629, 2026). The settled zone is lower rates: not zero, and not restoration.</w:t>
      </w:r>
    </w:p>
    <w:p>
      <w:pPr>
        <w:spacing w:after="49" w:line="276" w:lineRule="auto"/>
        <w:rPr/>
      </w:pPr>
      <w:r>
        <w:rPr>
          <w:rFonts w:ascii="Arial" w:cs="Arial" w:eastAsia="Arial" w:hAnsi="Arial"/>
          <w:b w:val="1"/>
          <w:bCs w:val="1"/>
          <w:color w:val="1a2d4f"/>
          <w:sz w:val="20"/>
          <w:szCs w:val="20"/>
          <w:rtl w:val="0"/>
        </w:rPr>
        <w:t xml:space="preserve">The homestead exemption.</w:t>
      </w:r>
      <w:r>
        <w:rPr>
          <w:rFonts w:ascii="Arial" w:cs="Arial" w:eastAsia="Arial" w:hAnsi="Arial"/>
          <w:color w:val="444444"/>
          <w:sz w:val="20"/>
          <w:szCs w:val="20"/>
          <w:rtl w:val="0"/>
        </w:rPr>
        <w:t xml:space="preserve"> The enabling bill — letting towns tax owner-occupied homes on less than full value — was killed in 2022 (HB1387) and sent to interim study in 2024 (HB1034) and again in 2026 (HB1648). Taxing non-primary residences more was killed 284–55 (HB1580, 2026); the split-rate design died in 2020 (HB1467) and 2022 (HB1365), and the deeper structural alternatives — the municipal land value tax (HB1417, 2026) and cost-based assessment (HB1380, 2026) — died on the House floor.</w:t>
      </w:r>
    </w:p>
    <w:p>
      <w:pPr>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group-specific relief (a veterans, elderly, or charity law nearly every session, and SB83's reimbursement fund in 2025); tax caps (four laws in the 2025–2026 biennium); gaming revenue (a new expansion every biennium since 2021); tax transparency (laws in both 2025 and 2026 after five years of dead bills); and the school-aid formulas (rebuilt toward property-poor towns in 2022, 2023, and 2025 — always through the budget).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anything that raises or restores a state tax (dead in every session, under both parties' majorities); new revenue sources other than gambling (dead on the floor, usually by wide margins); the homestead exemption (three tries, no floor win); broad relief for ordinary homeowners (the elderly-homeowner and lower-income exemption bills all died in 2025–2026); and municipal aid as a standing obligation — revenue sharing went from suspended to repealed, and the retirement-contribution share failed in every permanent form despite three unanimous Senate votes.</w:t>
      </w:r>
    </w:p>
    <w:p>
      <w:pPr>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House floor's Inexpedient to Legislate motion is the record's great filter — 306 of the 476 policy bills ended killed, most of them there — and the Senate's table and Rule 3-23 deadline quietly ended municipal-aid bills that had passed 23–0 or 24–0. Some decisive outcomes left no roll call at all: SB63's passage before its veto, most committee kills, and dozens of consent-calendar deaths. Constitutional amendments face the extra three-fifths wall: majorities of 202–171 and 201–170 still failed. Party labels exist only for 2025–2026 sponsors in this record, where cross-party sponsor teams appear on 40 policy bills; the most frequent prime sponsors where records exist are in Appendix D.</w:t>
      </w:r>
    </w:p>
    <w:p>
      <w:pPr>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spacing w:after="49" w:line="276" w:lineRule="auto"/>
        <w:rPr/>
      </w:pPr>
      <w:r>
        <w:rPr>
          <w:rFonts w:ascii="Arial" w:cs="Arial" w:eastAsia="Arial" w:hAnsi="Arial"/>
          <w:color w:val="444444"/>
          <w:sz w:val="20"/>
          <w:szCs w:val="20"/>
          <w:rtl w:val="0"/>
        </w:rPr>
        <w:t xml:space="preserve">Property taxes have no federal layer at all: no federal law sets, caps, or relieves them, so every proposal in this brief is state or local ground. The federal government touches the edges: the SALT deduction lets itemizing homeowners deduct state and local taxes — including New Hampshire property taxes — on federal returns; federal Title I and IDEA money flows into school budgets (HCR10, adopted by the House in 2024, urged Congress to fund IDEA fully precisely to reduce property taxes); and federal payments in lieu of taxes cover federal land, the model the PILOT study (SB484, 2020) looked at for state land. Since the interest-and-dividends repeal, investment income in New Hampshire is taxed only federally. Business profits face the federal corporate income tax alongside the BPT, which borrows its definitions from the federal code — the conformity questions in HB1668 (2026). Interstate rules frame the rest: the Supreme Court's Wayfair decision drives the out-of-state sales-tax collection bills (HB114, HB265, 2020), remote-worker income taxation by other states prompted HB1097 (2022), and federal wire and horseracing law shapes what online wagering the state may authorize.</w:t>
      </w:r>
    </w:p>
    <w:p>
      <w:pPr>
        <w:spacing w:before="40" w:after="0" w:line="276" w:lineRule="auto"/>
        <w:rPr/>
      </w:pPr>
      <w:r>
        <w:rPr>
          <w:rFonts w:ascii="Arial" w:cs="Arial" w:eastAsia="Arial" w:hAnsi="Arial"/>
          <w:color w:val="666666"/>
          <w:sz w:val="20"/>
          <w:szCs w:val="20"/>
          <w:rtl w:val="0"/>
        </w:rPr>
        <w:t xml:space="preserve">Full bill-by-bill detail, votes, sponsors, HB2 sections, and sources: Appendices A–I.</w:t>
      </w:r>
    </w:p>
    <w:p>
      <w:pPr>
        <w:spacing w:after="120" w:line="276" w:lineRule="auto"/>
        <w:rPr/>
      </w:pPr>
    </w:p>
    <w:p>
      <w:pPr>
        <w:spacing w:after="120" w:line="276" w:lineRule="auto"/>
        <w:rPr/>
      </w:pPr>
    </w:p>
    <w:p>
      <w:pPr>
        <w:spacing w:after="40" w:line="252" w:lineRule="auto"/>
        <w:rPr/>
      </w:pPr>
      <w:r>
        <w:rPr>
          <w:rFonts w:ascii="Arial" w:cs="Arial" w:eastAsia="Arial" w:hAnsi="Arial"/>
          <w:b w:val="1"/>
          <w:bCs w:val="1"/>
          <w:color w:val="1a2d4f"/>
          <w:sz w:val="36"/>
          <w:szCs w:val="36"/>
          <w:rtl w:val="0"/>
        </w:rPr>
        <w:t xml:space="preserve">Policy Spotlights</w:t>
      </w:r>
    </w:p>
    <w:p>
      <w:pPr>
        <w:spacing w:after="120" w:line="254" w:lineRule="auto"/>
        <w:rPr/>
      </w:pPr>
      <w:r>
        <w:rPr>
          <w:rFonts w:ascii="Arial" w:cs="Arial" w:eastAsia="Arial" w:hAnsi="Arial"/>
          <w:color w:val="444444"/>
          <w:sz w:val="20"/>
          <w:szCs w:val="20"/>
          <w:rtl w:val="0"/>
        </w:rPr>
        <w:t xml:space="preserve">A focused, bill-by-bill look at how far each proposal from the Community Conversations has traveled. Each policy is sorted into the same viability groups the brief uses, so the brief's top section shows what is viable overall and these spotlights show how viable one policy may be.</w:t>
      </w:r>
    </w:p>
    <w:p>
      <w:pPr>
        <w:spacing w:before="84" w:after="36" w:line="254" w:lineRule="auto"/>
        <w:rPr/>
      </w:pPr>
      <w:r>
        <w:rPr>
          <w:rFonts w:ascii="Arial" w:cs="Arial" w:eastAsia="Arial" w:hAnsi="Arial"/>
          <w:b w:val="1"/>
          <w:bCs w:val="1"/>
          <w:color w:val="c0392b"/>
          <w:sz w:val="25"/>
          <w:szCs w:val="25"/>
          <w:rtl w:val="0"/>
        </w:rPr>
        <w:t xml:space="preserve">RESTORE THE INTEREST AND DIVIDENDS TAX</w:t>
      </w:r>
    </w:p>
    <w:p>
      <w:pPr>
        <w:spacing w:after="60"/>
        <w:rPr/>
      </w:pPr>
      <w:r>
        <w:rPr>
          <w:rFonts w:ascii="Arial" w:cs="Arial" w:eastAsia="Arial" w:hAnsi="Arial"/>
          <w:i w:val="1"/>
          <w:iCs w:val="1"/>
          <w:color w:val="666666"/>
          <w:sz w:val="20"/>
          <w:szCs w:val="20"/>
          <w:rtl w:val="0"/>
        </w:rPr>
        <w:t xml:space="preserve">Never filed. The tax ended January 1, 2025 — repealed through two budget trailers, never by a standalone law — and no restoration bill has been introduced since.</w:t>
      </w:r>
    </w:p>
    <w:p>
      <w:pPr>
        <w:spacing w:before="70" w:after="30" w:line="250" w:lineRule="auto"/>
        <w:rPr/>
      </w:pPr>
      <w:r>
        <w:rPr>
          <w:rFonts w:ascii="Arial" w:cs="Arial" w:eastAsia="Arial" w:hAnsi="Arial"/>
          <w:b w:val="1"/>
          <w:bCs w:val="1"/>
          <w:color w:val="2e4a78"/>
          <w:sz w:val="24"/>
          <w:szCs w:val="24"/>
          <w:rtl w:val="0"/>
        </w:rPr>
        <w:t xml:space="preserve">How the tax ended (all inside HB2)</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2021 (91:89, 91:99): </w:t>
      </w:r>
      <w:r>
        <w:rPr>
          <w:rFonts w:ascii="Arial" w:cs="Arial" w:eastAsia="Arial" w:hAnsi="Arial"/>
          <w:color w:val="444444"/>
          <w:sz w:val="20"/>
          <w:szCs w:val="20"/>
          <w:rtl w:val="0"/>
        </w:rPr>
        <w:t xml:space="preserve">the phase-out schedule — 4 percent in 2023, 3 percent in 2024 — and repeal set for 2027.</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(79:85–88): </w:t>
      </w:r>
      <w:r>
        <w:rPr>
          <w:rFonts w:ascii="Arial" w:cs="Arial" w:eastAsia="Arial" w:hAnsi="Arial"/>
          <w:color w:val="444444"/>
          <w:sz w:val="20"/>
          <w:szCs w:val="20"/>
          <w:rtl w:val="0"/>
        </w:rPr>
        <w:t xml:space="preserve">repeal accelerated two years, to January 1, 2025. Votes were on each whole trailer; the 2021 trailer passed the House 198–181.</w:t>
      </w:r>
    </w:p>
    <w:p>
      <w:pPr>
        <w:spacing w:before="70" w:after="30" w:line="250" w:lineRule="auto"/>
        <w:rPr/>
      </w:pPr>
      <w:r>
        <w:rPr>
          <w:rFonts w:ascii="Arial" w:cs="Arial" w:eastAsia="Arial" w:hAnsi="Arial"/>
          <w:b w:val="1"/>
          <w:bCs w:val="1"/>
          <w:color w:val="2e4a78"/>
          <w:sz w:val="24"/>
          <w:szCs w:val="24"/>
          <w:rtl w:val="0"/>
        </w:rPr>
        <w:t xml:space="preserve">Stopped early (while the tax lived)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SB261 (2023): </w:t>
      </w:r>
      <w:r>
        <w:rPr>
          <w:rFonts w:ascii="Arial" w:cs="Arial" w:eastAsia="Arial" w:hAnsi="Arial"/>
          <w:color w:val="444444"/>
          <w:sz w:val="20"/>
          <w:szCs w:val="20"/>
          <w:rtl w:val="0"/>
        </w:rPr>
        <w:t xml:space="preserve">rate and threshold changes; killed on the Senate floor 13–10.</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HB192 (2024): </w:t>
      </w:r>
      <w:r>
        <w:rPr>
          <w:rFonts w:ascii="Arial" w:cs="Arial" w:eastAsia="Arial" w:hAnsi="Arial"/>
          <w:color w:val="444444"/>
          <w:sz w:val="20"/>
          <w:szCs w:val="20"/>
          <w:rtl w:val="0"/>
        </w:rPr>
        <w:t xml:space="preserve">rate and exemption changes;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HB1492 (2024) and HB100 (2024): </w:t>
      </w:r>
      <w:r>
        <w:rPr>
          <w:rFonts w:ascii="Arial" w:cs="Arial" w:eastAsia="Arial" w:hAnsi="Arial"/>
          <w:color w:val="444444"/>
          <w:sz w:val="20"/>
          <w:szCs w:val="20"/>
          <w:rtl w:val="0"/>
        </w:rPr>
        <w:t xml:space="preserve">adjustment and faster-repeal bills; both ended in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HB568 (2022), HB210 (2022), HB353 (2022): </w:t>
      </w:r>
      <w:r>
        <w:rPr>
          <w:rFonts w:ascii="Arial" w:cs="Arial" w:eastAsia="Arial" w:hAnsi="Arial"/>
          <w:color w:val="444444"/>
          <w:sz w:val="20"/>
          <w:szCs w:val="20"/>
          <w:rtl w:val="0"/>
        </w:rPr>
        <w:t xml:space="preserve">exemption increases and credits; all killed in the House.</w:t>
      </w:r>
    </w:p>
    <w:p>
      <w:pPr>
        <w:spacing w:before="70" w:after="30" w:line="250" w:lineRule="auto"/>
        <w:rPr/>
      </w:pPr>
      <w:r>
        <w:rPr>
          <w:rFonts w:ascii="Arial" w:cs="Arial" w:eastAsia="Arial" w:hAnsi="Arial"/>
          <w:b w:val="1"/>
          <w:bCs w:val="1"/>
          <w:color w:val="2e4a78"/>
          <w:sz w:val="24"/>
          <w:szCs w:val="24"/>
          <w:rtl w:val="0"/>
        </w:rPr>
        <w:t xml:space="preserve">Never filed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A bill restoring the tax, in whole or in part, since the repeal took effect — the certified 2025–2026 record contains none.</w:t>
      </w:r>
    </w:p>
    <w:p>
      <w:pPr>
        <w:spacing w:before="84" w:after="36" w:line="254" w:lineRule="auto"/>
        <w:rPr/>
      </w:pPr>
      <w:r>
        <w:rPr>
          <w:rFonts w:ascii="Arial" w:cs="Arial" w:eastAsia="Arial" w:hAnsi="Arial"/>
          <w:b w:val="1"/>
          <w:bCs w:val="1"/>
          <w:color w:val="c0392b"/>
          <w:sz w:val="25"/>
          <w:szCs w:val="25"/>
          <w:rtl w:val="0"/>
        </w:rPr>
        <w:t xml:space="preserve">DIVERSIFY THE TAX BASE / ADD NEW REVENUE SOURCES</w:t>
      </w:r>
    </w:p>
    <w:p>
      <w:pPr>
        <w:spacing w:after="60"/>
        <w:rPr/>
      </w:pPr>
      <w:r>
        <w:rPr>
          <w:rFonts w:ascii="Arial" w:cs="Arial" w:eastAsia="Arial" w:hAnsi="Arial"/>
          <w:i w:val="1"/>
          <w:iCs w:val="1"/>
          <w:color w:val="666666"/>
          <w:sz w:val="20"/>
          <w:szCs w:val="20"/>
          <w:rtl w:val="0"/>
        </w:rPr>
        <w:t xml:space="preserve">Every non-gambling attempt died in the House, usually by lopsided votes — and the constitutional amendments meant to close the door failed too. The one diversification that keeps passing is gaming.</w:t>
      </w:r>
    </w:p>
    <w:p>
      <w:pPr>
        <w:spacing w:before="70" w:after="30" w:line="250" w:lineRule="auto"/>
        <w:rPr/>
      </w:pPr>
      <w:r>
        <w:rPr>
          <w:rFonts w:ascii="Arial" w:cs="Arial" w:eastAsia="Arial" w:hAnsi="Arial"/>
          <w:b w:val="1"/>
          <w:bCs w:val="1"/>
          <w:color w:val="2e4a78"/>
          <w:sz w:val="24"/>
          <w:szCs w:val="24"/>
          <w:rtl w:val="0"/>
        </w:rPr>
        <w:t xml:space="preserve">Already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Video lottery terminals (HB2 2025, 141:26): </w:t>
      </w:r>
      <w:r>
        <w:rPr>
          <w:rFonts w:ascii="Arial" w:cs="Arial" w:eastAsia="Arial" w:hAnsi="Arial"/>
          <w:color w:val="444444"/>
          <w:sz w:val="20"/>
          <w:szCs w:val="20"/>
          <w:rtl w:val="0"/>
        </w:rPr>
        <w:t xml:space="preserve">slot-style machines at charitable gaming facilities, with a 31 percent state take — the biggest new revenue source of the period.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HB737 (2025): </w:t>
      </w:r>
      <w:r>
        <w:rPr>
          <w:rFonts w:ascii="Arial" w:cs="Arial" w:eastAsia="Arial" w:hAnsi="Arial"/>
          <w:color w:val="444444"/>
          <w:sz w:val="20"/>
          <w:szCs w:val="20"/>
          <w:rtl w:val="0"/>
        </w:rPr>
        <w:t xml:space="preserve">statewide keno and local games of chance options.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SB472 (2024): </w:t>
      </w:r>
      <w:r>
        <w:rPr>
          <w:rFonts w:ascii="Arial" w:cs="Arial" w:eastAsia="Arial" w:hAnsi="Arial"/>
          <w:color w:val="444444"/>
          <w:sz w:val="20"/>
          <w:szCs w:val="20"/>
          <w:rtl w:val="0"/>
        </w:rPr>
        <w:t xml:space="preserve">historic horse racing revenue sharing with host communities.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HB354 (2021): </w:t>
      </w:r>
      <w:r>
        <w:rPr>
          <w:rFonts w:ascii="Arial" w:cs="Arial" w:eastAsia="Arial" w:hAnsi="Arial"/>
          <w:color w:val="444444"/>
          <w:sz w:val="20"/>
          <w:szCs w:val="20"/>
          <w:rtl w:val="0"/>
        </w:rPr>
        <w:t xml:space="preserve">the local option for sports betting locations.</w:t>
      </w:r>
    </w:p>
    <w:p>
      <w:pPr>
        <w:spacing w:before="70" w:after="30" w:line="250" w:lineRule="auto"/>
        <w:rPr/>
      </w:pPr>
      <w:r>
        <w:rPr>
          <w:rFonts w:ascii="Arial" w:cs="Arial" w:eastAsia="Arial" w:hAnsi="Arial"/>
          <w:b w:val="1"/>
          <w:bCs w:val="1"/>
          <w:color w:val="2e4a78"/>
          <w:sz w:val="24"/>
          <w:szCs w:val="24"/>
          <w:rtl w:val="0"/>
        </w:rPr>
        <w:t xml:space="preserve">Proven support (cleared a chamber)</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SB104 (2023): </w:t>
      </w:r>
      <w:r>
        <w:rPr>
          <w:rFonts w:ascii="Arial" w:cs="Arial" w:eastAsia="Arial" w:hAnsi="Arial"/>
          <w:color w:val="444444"/>
          <w:sz w:val="20"/>
          <w:szCs w:val="20"/>
          <w:rtl w:val="0"/>
        </w:rPr>
        <w:t xml:space="preserve">online gambling for community-college scholarships; passed the Senate 13–11, indefinitely postponed by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HB1699 (2020): </w:t>
      </w:r>
      <w:r>
        <w:rPr>
          <w:rFonts w:ascii="Arial" w:cs="Arial" w:eastAsia="Arial" w:hAnsi="Arial"/>
          <w:color w:val="444444"/>
          <w:sz w:val="20"/>
          <w:szCs w:val="20"/>
          <w:rtl w:val="0"/>
        </w:rPr>
        <w:t xml:space="preserve">the e-cigarette tax; passed the House 172–142, died on the Senate table.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CACR1 and CACR2 (2021): </w:t>
      </w:r>
      <w:r>
        <w:rPr>
          <w:rFonts w:ascii="Arial" w:cs="Arial" w:eastAsia="Arial" w:hAnsi="Arial"/>
          <w:color w:val="444444"/>
          <w:sz w:val="20"/>
          <w:szCs w:val="20"/>
          <w:rtl w:val="0"/>
        </w:rPr>
        <w:t xml:space="preserve">the income-tax and sales-tax bans; majorities of 202–171 and 201–170, short of three-fifths.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CACR10 and CACR12 (2026): </w:t>
      </w:r>
      <w:r>
        <w:rPr>
          <w:rFonts w:ascii="Arial" w:cs="Arial" w:eastAsia="Arial" w:hAnsi="Arial"/>
          <w:color w:val="444444"/>
          <w:sz w:val="20"/>
          <w:szCs w:val="20"/>
          <w:rtl w:val="0"/>
        </w:rPr>
        <w:t xml:space="preserve">the tax-law-adoption amendments; 194–158 and 193–148 in the House (CACR12 had passed the Senate 16–8), also short of three-fifths.</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HB1492 (2020): </w:t>
      </w:r>
      <w:r>
        <w:rPr>
          <w:rFonts w:ascii="Arial" w:cs="Arial" w:eastAsia="Arial" w:hAnsi="Arial"/>
          <w:color w:val="444444"/>
          <w:sz w:val="20"/>
          <w:szCs w:val="20"/>
          <w:rtl w:val="0"/>
        </w:rPr>
        <w:t xml:space="preserve">the electronics tax for education; killed 320–11.</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HB1707 (2026): </w:t>
      </w:r>
      <w:r>
        <w:rPr>
          <w:rFonts w:ascii="Arial" w:cs="Arial" w:eastAsia="Arial" w:hAnsi="Arial"/>
          <w:color w:val="444444"/>
          <w:sz w:val="20"/>
          <w:szCs w:val="20"/>
          <w:rtl w:val="0"/>
        </w:rPr>
        <w:t xml:space="preserve">the vacancy tax;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HB1636 (2026): </w:t>
      </w:r>
      <w:r>
        <w:rPr>
          <w:rFonts w:ascii="Arial" w:cs="Arial" w:eastAsia="Arial" w:hAnsi="Arial"/>
          <w:color w:val="444444"/>
          <w:sz w:val="20"/>
          <w:szCs w:val="20"/>
          <w:rtl w:val="0"/>
        </w:rPr>
        <w:t xml:space="preserve">a DRA study of revenue options; killed 284–76.</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HB491 (2026): </w:t>
      </w:r>
      <w:r>
        <w:rPr>
          <w:rFonts w:ascii="Arial" w:cs="Arial" w:eastAsia="Arial" w:hAnsi="Arial"/>
          <w:color w:val="444444"/>
          <w:sz w:val="20"/>
          <w:szCs w:val="20"/>
          <w:rtl w:val="0"/>
        </w:rPr>
        <w:t xml:space="preserve">a study of education funding alternatives to property taxes; killed 195–157.</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HB722 (2020) and SB485 (2026): </w:t>
      </w:r>
      <w:r>
        <w:rPr>
          <w:rFonts w:ascii="Arial" w:cs="Arial" w:eastAsia="Arial" w:hAnsi="Arial"/>
          <w:color w:val="444444"/>
          <w:sz w:val="20"/>
          <w:szCs w:val="20"/>
          <w:rtl w:val="0"/>
        </w:rPr>
        <w:t xml:space="preserve">marijuana and hemp taxation;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SB168 (2025): </w:t>
      </w:r>
      <w:r>
        <w:rPr>
          <w:rFonts w:ascii="Arial" w:cs="Arial" w:eastAsia="Arial" w:hAnsi="Arial"/>
          <w:color w:val="444444"/>
          <w:sz w:val="20"/>
          <w:szCs w:val="20"/>
          <w:rtl w:val="0"/>
        </w:rPr>
        <w:t xml:space="preserve">online gambling with proceeds partly reimbursing town exemptions; died at the Senate deadline.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HB290 (2025) and HB1596 (2026): </w:t>
      </w:r>
      <w:r>
        <w:rPr>
          <w:rFonts w:ascii="Arial" w:cs="Arial" w:eastAsia="Arial" w:hAnsi="Arial"/>
          <w:color w:val="444444"/>
          <w:sz w:val="20"/>
          <w:szCs w:val="20"/>
          <w:rtl w:val="0"/>
        </w:rPr>
        <w:t xml:space="preserve">the cigarette and tobacco tax raises; killed in the House, the second 200–157.</w:t>
      </w:r>
    </w:p>
    <w:p>
      <w:pPr>
        <w:spacing w:before="84" w:after="36" w:line="254" w:lineRule="auto"/>
        <w:rPr/>
      </w:pPr>
      <w:r>
        <w:rPr>
          <w:rFonts w:ascii="Arial" w:cs="Arial" w:eastAsia="Arial" w:hAnsi="Arial"/>
          <w:b w:val="1"/>
          <w:bCs w:val="1"/>
          <w:color w:val="c0392b"/>
          <w:sz w:val="25"/>
          <w:szCs w:val="25"/>
          <w:rtl w:val="0"/>
        </w:rPr>
        <w:t xml:space="preserve">STOP CUTTING / RESTORE STATE BUSINESS TAXES (BET, BPT, ROOMS &amp; MEALS)</w:t>
      </w:r>
    </w:p>
    <w:p>
      <w:pPr>
        <w:spacing w:after="60"/>
        <w:rPr/>
      </w:pPr>
      <w:r>
        <w:rPr>
          <w:rFonts w:ascii="Arial" w:cs="Arial" w:eastAsia="Arial" w:hAnsi="Arial"/>
          <w:i w:val="1"/>
          <w:iCs w:val="1"/>
          <w:color w:val="666666"/>
          <w:sz w:val="20"/>
          <w:szCs w:val="20"/>
          <w:rtl w:val="0"/>
        </w:rPr>
        <w:t xml:space="preserve">The cuts passed through budget trailers and one leadership bill; every bill pushing the other direction has died in the House. No restoration has ever reached a floor win.</w:t>
      </w:r>
    </w:p>
    <w:p>
      <w:pPr>
        <w:spacing w:before="70" w:after="30" w:line="250" w:lineRule="auto"/>
        <w:rPr/>
      </w:pPr>
      <w:r>
        <w:rPr>
          <w:rFonts w:ascii="Arial" w:cs="Arial" w:eastAsia="Arial" w:hAnsi="Arial"/>
          <w:b w:val="1"/>
          <w:bCs w:val="1"/>
          <w:color w:val="2e4a78"/>
          <w:sz w:val="24"/>
          <w:szCs w:val="24"/>
          <w:rtl w:val="0"/>
        </w:rPr>
        <w:t xml:space="preserve">Already law (the cuts)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2021 (91:109–110, 91:103): </w:t>
      </w:r>
      <w:r>
        <w:rPr>
          <w:rFonts w:ascii="Arial" w:cs="Arial" w:eastAsia="Arial" w:hAnsi="Arial"/>
          <w:color w:val="444444"/>
          <w:sz w:val="20"/>
          <w:szCs w:val="20"/>
          <w:rtl w:val="0"/>
        </w:rPr>
        <w:t xml:space="preserve">BPT 7.7 to 7.6 percent, BET 0.675 to 0.55 percent, meals and rooms 9 to 8.5 percent.</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HB1221 (2022): </w:t>
      </w:r>
      <w:r>
        <w:rPr>
          <w:rFonts w:ascii="Arial" w:cs="Arial" w:eastAsia="Arial" w:hAnsi="Arial"/>
          <w:color w:val="444444"/>
          <w:sz w:val="20"/>
          <w:szCs w:val="20"/>
          <w:rtl w:val="0"/>
        </w:rPr>
        <w:t xml:space="preserve">BPT to 7.5 percent, passed the House 177–141 — paired with a one-time payment to towns worth 7.5 percent of their retirement contributions.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2025 (141:132–133): </w:t>
      </w:r>
      <w:r>
        <w:rPr>
          <w:rFonts w:ascii="Arial" w:cs="Arial" w:eastAsia="Arial" w:hAnsi="Arial"/>
          <w:color w:val="444444"/>
          <w:sz w:val="20"/>
          <w:szCs w:val="20"/>
          <w:rtl w:val="0"/>
        </w:rPr>
        <w:t xml:space="preserve">the education trust fund's share of both business taxes cut from 41 to 39 percent.</w:t>
      </w:r>
    </w:p>
    <w:p>
      <w:pPr>
        <w:spacing w:before="70" w:after="30" w:line="250" w:lineRule="auto"/>
        <w:rPr/>
      </w:pPr>
      <w:r>
        <w:rPr>
          <w:rFonts w:ascii="Arial" w:cs="Arial" w:eastAsia="Arial" w:hAnsi="Arial"/>
          <w:b w:val="1"/>
          <w:bCs w:val="1"/>
          <w:color w:val="2e4a78"/>
          <w:sz w:val="24"/>
          <w:szCs w:val="24"/>
          <w:rtl w:val="0"/>
        </w:rPr>
        <w:t xml:space="preserve">Stopped early (the restorations)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HB623 (2020) and HB10 (2021–22): </w:t>
      </w:r>
      <w:r>
        <w:rPr>
          <w:rFonts w:ascii="Arial" w:cs="Arial" w:eastAsia="Arial" w:hAnsi="Arial"/>
          <w:color w:val="444444"/>
          <w:sz w:val="20"/>
          <w:szCs w:val="20"/>
          <w:rtl w:val="0"/>
        </w:rPr>
        <w:t xml:space="preserve">rate restorations;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HB1422 (2024): </w:t>
      </w:r>
      <w:r>
        <w:rPr>
          <w:rFonts w:ascii="Arial" w:cs="Arial" w:eastAsia="Arial" w:hAnsi="Arial"/>
          <w:color w:val="444444"/>
          <w:sz w:val="20"/>
          <w:szCs w:val="20"/>
          <w:rtl w:val="0"/>
        </w:rPr>
        <w:t xml:space="preserve">the omnibus rate bill (BPT, BET, CST, meals and rooms);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HB255 and HB318 (2025): </w:t>
      </w:r>
      <w:r>
        <w:rPr>
          <w:rFonts w:ascii="Arial" w:cs="Arial" w:eastAsia="Arial" w:hAnsi="Arial"/>
          <w:color w:val="444444"/>
          <w:sz w:val="20"/>
          <w:szCs w:val="20"/>
          <w:rtl w:val="0"/>
        </w:rPr>
        <w:t xml:space="preserve">raising the trust fund's business-tax shares; both killed — months before the trailer cut the shares instead.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HB1478 (2022): </w:t>
      </w:r>
      <w:r>
        <w:rPr>
          <w:rFonts w:ascii="Arial" w:cs="Arial" w:eastAsia="Arial" w:hAnsi="Arial"/>
          <w:color w:val="444444"/>
          <w:sz w:val="20"/>
          <w:szCs w:val="20"/>
          <w:rtl w:val="0"/>
        </w:rPr>
        <w:t xml:space="preserve">the surtax on large low-wage employers; killed 304–40.</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HB1480 (2026): </w:t>
      </w:r>
      <w:r>
        <w:rPr>
          <w:rFonts w:ascii="Arial" w:cs="Arial" w:eastAsia="Arial" w:hAnsi="Arial"/>
          <w:color w:val="444444"/>
          <w:sz w:val="20"/>
          <w:szCs w:val="20"/>
          <w:rtl w:val="0"/>
        </w:rPr>
        <w:t xml:space="preserve">raising the meals and rooms rate back; killed.</w:t>
      </w:r>
    </w:p>
    <w:p>
      <w:pPr>
        <w:spacing w:before="70" w:after="30" w:line="250" w:lineRule="auto"/>
        <w:rPr/>
      </w:pPr>
      <w:r>
        <w:rPr>
          <w:rFonts w:ascii="Arial" w:cs="Arial" w:eastAsia="Arial" w:hAnsi="Arial"/>
          <w:b w:val="1"/>
          <w:bCs w:val="1"/>
          <w:color w:val="2e4a78"/>
          <w:sz w:val="24"/>
          <w:szCs w:val="24"/>
          <w:rtl w:val="0"/>
        </w:rPr>
        <w:t xml:space="preserve">Stopped early (the counterattack)</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HB1546 and HB1629 (2026): </w:t>
      </w:r>
      <w:r>
        <w:rPr>
          <w:rFonts w:ascii="Arial" w:cs="Arial" w:eastAsia="Arial" w:hAnsi="Arial"/>
          <w:color w:val="444444"/>
          <w:sz w:val="20"/>
          <w:szCs w:val="20"/>
          <w:rtl w:val="0"/>
        </w:rPr>
        <w:t xml:space="preserve">repealing the BPT and BET outright; both killed — the House holds the rates where the trailers put them, in both directions.</w:t>
      </w:r>
    </w:p>
    <w:p>
      <w:pPr>
        <w:spacing w:before="84" w:after="36" w:line="254" w:lineRule="auto"/>
        <w:rPr/>
      </w:pPr>
      <w:r>
        <w:rPr>
          <w:rFonts w:ascii="Arial" w:cs="Arial" w:eastAsia="Arial" w:hAnsi="Arial"/>
          <w:b w:val="1"/>
          <w:bCs w:val="1"/>
          <w:color w:val="c0392b"/>
          <w:sz w:val="25"/>
          <w:szCs w:val="25"/>
          <w:rtl w:val="0"/>
        </w:rPr>
        <w:t xml:space="preserve">HOMESTEAD EXEMPTION</w:t>
      </w:r>
    </w:p>
    <w:p>
      <w:pPr>
        <w:spacing w:after="60"/>
        <w:rPr/>
      </w:pPr>
      <w:r>
        <w:rPr>
          <w:rFonts w:ascii="Arial" w:cs="Arial" w:eastAsia="Arial" w:hAnsi="Arial"/>
          <w:i w:val="1"/>
          <w:iCs w:val="1"/>
          <w:color w:val="666666"/>
          <w:sz w:val="20"/>
          <w:szCs w:val="20"/>
          <w:rtl w:val="0"/>
        </w:rPr>
        <w:t xml:space="preserve">Filed three times as a local option and never past a committee's doubts — and the second-home side of the idea loses badly on the floor. The enacted neighbor is SB83's state-funded reimbursement for existing exemptions.</w:t>
      </w:r>
    </w:p>
    <w:p>
      <w:pPr>
        <w:spacing w:before="70" w:after="30" w:line="250" w:lineRule="auto"/>
        <w:rPr/>
      </w:pPr>
      <w:r>
        <w:rPr>
          <w:rFonts w:ascii="Arial" w:cs="Arial" w:eastAsia="Arial" w:hAnsi="Arial"/>
          <w:b w:val="1"/>
          <w:bCs w:val="1"/>
          <w:color w:val="2e4a78"/>
          <w:sz w:val="24"/>
          <w:szCs w:val="24"/>
          <w:rtl w:val="0"/>
        </w:rPr>
        <w:t xml:space="preserve">Already law (the adjacent ground)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SB83 (2025): </w:t>
      </w:r>
      <w:r>
        <w:rPr>
          <w:rFonts w:ascii="Arial" w:cs="Arial" w:eastAsia="Arial" w:hAnsi="Arial"/>
          <w:color w:val="444444"/>
          <w:sz w:val="20"/>
          <w:szCs w:val="20"/>
          <w:rtl w:val="0"/>
        </w:rPr>
        <w:t xml:space="preserve">a state fund reimbursing towns for the elderly, disabled, blind, and deaf exemptions, financed by video lottery terminal revenue — the state paying for property-tax relief instead of shifting it onto other local taxpayers.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HB1494 (2026), HB99 (2025), HB1154 (2024), HB1667 (2022), HB130 (2020): </w:t>
      </w:r>
      <w:r>
        <w:rPr>
          <w:rFonts w:ascii="Arial" w:cs="Arial" w:eastAsia="Arial" w:hAnsi="Arial"/>
          <w:color w:val="444444"/>
          <w:sz w:val="20"/>
          <w:szCs w:val="20"/>
          <w:rtl w:val="0"/>
        </w:rPr>
        <w:t xml:space="preserve">the veterans' credit and exemption thread — group-specific relief passes nearly every session.</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HB1387 (2022): </w:t>
      </w:r>
      <w:r>
        <w:rPr>
          <w:rFonts w:ascii="Arial" w:cs="Arial" w:eastAsia="Arial" w:hAnsi="Arial"/>
          <w:color w:val="444444"/>
          <w:sz w:val="20"/>
          <w:szCs w:val="20"/>
          <w:rtl w:val="0"/>
        </w:rPr>
        <w:t xml:space="preserve">the municipal homestead exemption option; killed on the House floor.</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HB1034 (2024) and HB1648 (2026): </w:t>
      </w:r>
      <w:r>
        <w:rPr>
          <w:rFonts w:ascii="Arial" w:cs="Arial" w:eastAsia="Arial" w:hAnsi="Arial"/>
          <w:color w:val="444444"/>
          <w:sz w:val="20"/>
          <w:szCs w:val="20"/>
          <w:rtl w:val="0"/>
        </w:rPr>
        <w:t xml:space="preserve">the same design refiled; interim study both times.</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HB1580 (2026): </w:t>
      </w:r>
      <w:r>
        <w:rPr>
          <w:rFonts w:ascii="Arial" w:cs="Arial" w:eastAsia="Arial" w:hAnsi="Arial"/>
          <w:color w:val="444444"/>
          <w:sz w:val="20"/>
          <w:szCs w:val="20"/>
          <w:rtl w:val="0"/>
        </w:rPr>
        <w:t xml:space="preserve">taxing non-primary residences more; killed 284–55.</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HB1786 (2026): </w:t>
      </w:r>
      <w:r>
        <w:rPr>
          <w:rFonts w:ascii="Arial" w:cs="Arial" w:eastAsia="Arial" w:hAnsi="Arial"/>
          <w:color w:val="444444"/>
          <w:sz w:val="20"/>
          <w:szCs w:val="20"/>
          <w:rtl w:val="0"/>
        </w:rPr>
        <w:t xml:space="preserve">the luxury second-home assessment; tabled 189–158, and the motion to take it back up failed 100–235.</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HB1365 (2022) and HB1467 (2020): </w:t>
      </w:r>
      <w:r>
        <w:rPr>
          <w:rFonts w:ascii="Arial" w:cs="Arial" w:eastAsia="Arial" w:hAnsi="Arial"/>
          <w:color w:val="444444"/>
          <w:sz w:val="20"/>
          <w:szCs w:val="20"/>
          <w:rtl w:val="0"/>
        </w:rPr>
        <w:t xml:space="preserve">different rates for residential and other property; both killed.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HB1417 and HB1380 (2026): </w:t>
      </w:r>
      <w:r>
        <w:rPr>
          <w:rFonts w:ascii="Arial" w:cs="Arial" w:eastAsia="Arial" w:hAnsi="Arial"/>
          <w:color w:val="444444"/>
          <w:sz w:val="20"/>
          <w:szCs w:val="20"/>
          <w:rtl w:val="0"/>
        </w:rPr>
        <w:t xml:space="preserve">the municipal land value tax and cost-based assessment — the structural alternatives; both killed.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HB101, HB766, HB782 (2025): </w:t>
      </w:r>
      <w:r>
        <w:rPr>
          <w:rFonts w:ascii="Arial" w:cs="Arial" w:eastAsia="Arial" w:hAnsi="Arial"/>
          <w:color w:val="444444"/>
          <w:sz w:val="20"/>
          <w:szCs w:val="20"/>
          <w:rtl w:val="0"/>
        </w:rPr>
        <w:t xml:space="preserve">elderly-homeowner exemptions — the broad-relief versions; all killed in the House.</w:t>
      </w:r>
    </w:p>
    <w:p>
      <w:pPr>
        <w:spacing w:before="84" w:after="36" w:line="254" w:lineRule="auto"/>
        <w:rPr/>
      </w:pPr>
      <w:r>
        <w:rPr>
          <w:rFonts w:ascii="Arial" w:cs="Arial" w:eastAsia="Arial" w:hAnsi="Arial"/>
          <w:b w:val="1"/>
          <w:bCs w:val="1"/>
          <w:color w:val="c0392b"/>
          <w:sz w:val="25"/>
          <w:szCs w:val="25"/>
          <w:rtl w:val="0"/>
        </w:rPr>
        <w:t xml:space="preserve">INCREASE REGIONALIZATION / CONSOLIDATE SERVICES</w:t>
      </w:r>
    </w:p>
    <w:p>
      <w:pPr>
        <w:spacing w:after="60"/>
        <w:rPr/>
      </w:pPr>
      <w:r>
        <w:rPr>
          <w:rFonts w:ascii="Arial" w:cs="Arial" w:eastAsia="Arial" w:hAnsi="Arial"/>
          <w:i w:val="1"/>
          <w:iCs w:val="1"/>
          <w:color w:val="666666"/>
          <w:sz w:val="20"/>
          <w:szCs w:val="20"/>
          <w:rtl w:val="0"/>
        </w:rPr>
        <w:t xml:space="preserve">Incentives to consolidate have never been filed; mandatory consolidation of school administrative units was filed twice and failed. Most of the legislature's energy flows the opposite way — toward easier separation from cooperative school districts.</w:t>
      </w:r>
    </w:p>
    <w:p>
      <w:pPr>
        <w:spacing w:before="70" w:after="30" w:line="250" w:lineRule="auto"/>
        <w:rPr/>
      </w:pPr>
      <w:r>
        <w:rPr>
          <w:rFonts w:ascii="Arial" w:cs="Arial" w:eastAsia="Arial" w:hAnsi="Arial"/>
          <w:b w:val="1"/>
          <w:bCs w:val="1"/>
          <w:color w:val="2e4a78"/>
          <w:sz w:val="24"/>
          <w:szCs w:val="24"/>
          <w:rtl w:val="0"/>
        </w:rPr>
        <w:t xml:space="preserve">Already law (mostly the other direction)</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HB152 (2021): </w:t>
      </w:r>
      <w:r>
        <w:rPr>
          <w:rFonts w:ascii="Arial" w:cs="Arial" w:eastAsia="Arial" w:hAnsi="Arial"/>
          <w:color w:val="444444"/>
          <w:sz w:val="20"/>
          <w:szCs w:val="20"/>
          <w:rtl w:val="0"/>
        </w:rPr>
        <w:t xml:space="preserve">rewrote how cooperative school districts split costs among towns — the one clearly pro-cooperation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HB530 (2023) and HB1374 (2026): </w:t>
      </w:r>
      <w:r>
        <w:rPr>
          <w:rFonts w:ascii="Arial" w:cs="Arial" w:eastAsia="Arial" w:hAnsi="Arial"/>
          <w:color w:val="444444"/>
          <w:sz w:val="20"/>
          <w:szCs w:val="20"/>
          <w:rtl w:val="0"/>
        </w:rPr>
        <w:t xml:space="preserve">withdrawal-from-cooperative procedures; HB1374 passed the House 179–161 on its conference report.</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HB1331 (2026): </w:t>
      </w:r>
      <w:r>
        <w:rPr>
          <w:rFonts w:ascii="Arial" w:cs="Arial" w:eastAsia="Arial" w:hAnsi="Arial"/>
          <w:color w:val="444444"/>
          <w:sz w:val="20"/>
          <w:szCs w:val="20"/>
          <w:rtl w:val="0"/>
        </w:rPr>
        <w:t xml:space="preserve">let Derry absorb its cooperative school district as a town department, 193–157.</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HB765 (2025): </w:t>
      </w:r>
      <w:r>
        <w:rPr>
          <w:rFonts w:ascii="Arial" w:cs="Arial" w:eastAsia="Arial" w:hAnsi="Arial"/>
          <w:color w:val="444444"/>
          <w:sz w:val="20"/>
          <w:szCs w:val="20"/>
          <w:rtl w:val="0"/>
        </w:rPr>
        <w:t xml:space="preserve">consolidating school administrative units with elected superintendents; a unanimous 18–0 Inexpedient to Legislate committee report, killed by voice vote.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HB1804 (2026): </w:t>
      </w:r>
      <w:r>
        <w:rPr>
          <w:rFonts w:ascii="Arial" w:cs="Arial" w:eastAsia="Arial" w:hAnsi="Arial"/>
          <w:color w:val="444444"/>
          <w:sz w:val="20"/>
          <w:szCs w:val="20"/>
          <w:rtl w:val="0"/>
        </w:rPr>
        <w:t xml:space="preserve">the same consolidation refiled;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HB1818 (2026): </w:t>
      </w:r>
      <w:r>
        <w:rPr>
          <w:rFonts w:ascii="Arial" w:cs="Arial" w:eastAsia="Arial" w:hAnsi="Arial"/>
          <w:color w:val="444444"/>
          <w:sz w:val="20"/>
          <w:szCs w:val="20"/>
          <w:rtl w:val="0"/>
        </w:rPr>
        <w:t xml:space="preserve">school-building consolidation planning through the education department's 10-year facilities plans; died on the Senate table.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HB1644 (2026): </w:t>
      </w:r>
      <w:r>
        <w:rPr>
          <w:rFonts w:ascii="Arial" w:cs="Arial" w:eastAsia="Arial" w:hAnsi="Arial"/>
          <w:color w:val="444444"/>
          <w:sz w:val="20"/>
          <w:szCs w:val="20"/>
          <w:rtl w:val="0"/>
        </w:rPr>
        <w:t xml:space="preserve">unilateral town withdrawal from cooperatives;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HB1679 (2022): </w:t>
      </w:r>
      <w:r>
        <w:rPr>
          <w:rFonts w:ascii="Arial" w:cs="Arial" w:eastAsia="Arial" w:hAnsi="Arial"/>
          <w:color w:val="444444"/>
          <w:sz w:val="20"/>
          <w:szCs w:val="20"/>
          <w:rtl w:val="0"/>
        </w:rPr>
        <w:t xml:space="preserve">dissolution and repeal of cooperative districts; interim study.</w:t>
      </w:r>
    </w:p>
    <w:p>
      <w:pPr>
        <w:spacing w:before="70" w:after="30" w:line="250" w:lineRule="auto"/>
        <w:rPr/>
      </w:pPr>
      <w:r>
        <w:rPr>
          <w:rFonts w:ascii="Arial" w:cs="Arial" w:eastAsia="Arial" w:hAnsi="Arial"/>
          <w:b w:val="1"/>
          <w:bCs w:val="1"/>
          <w:color w:val="2e4a78"/>
          <w:sz w:val="24"/>
          <w:szCs w:val="24"/>
          <w:rtl w:val="0"/>
        </w:rPr>
        <w:t xml:space="preserve">Never filed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State incentives for consolidating municipal or school services, shared-service grants, or a regionalization study — the certified record contains none. (Consolidation mandates were filed — see above — but nothing pays or rewards towns for combining services.)</w:t>
      </w:r>
    </w:p>
    <w:p>
      <w:pPr>
        <w:spacing w:before="84" w:after="36" w:line="254" w:lineRule="auto"/>
        <w:rPr/>
      </w:pPr>
      <w:r>
        <w:rPr>
          <w:rFonts w:ascii="Arial" w:cs="Arial" w:eastAsia="Arial" w:hAnsi="Arial"/>
          <w:b w:val="1"/>
          <w:bCs w:val="1"/>
          <w:color w:val="c0392b"/>
          <w:sz w:val="25"/>
          <w:szCs w:val="25"/>
          <w:rtl w:val="0"/>
        </w:rPr>
        <w:t xml:space="preserve">IMPROVE COMMUNICATION AND PUBLIC EDUCATION BY LEGISLATORS</w:t>
      </w:r>
    </w:p>
    <w:p>
      <w:pPr>
        <w:spacing w:after="60"/>
        <w:rPr/>
      </w:pPr>
      <w:r>
        <w:rPr>
          <w:rFonts w:ascii="Arial" w:cs="Arial" w:eastAsia="Arial" w:hAnsi="Arial"/>
          <w:i w:val="1"/>
          <w:iCs w:val="1"/>
          <w:color w:val="666666"/>
          <w:sz w:val="20"/>
          <w:szCs w:val="20"/>
          <w:rtl w:val="0"/>
        </w:rPr>
        <w:t xml:space="preserve">The one proposal already adopted as a formal recommendation by participants — and the one where the 2025–2026 biennium finally produced laws after five years of dead transparency bills.</w:t>
      </w:r>
    </w:p>
    <w:p>
      <w:pPr>
        <w:spacing w:before="70" w:after="30" w:line="250" w:lineRule="auto"/>
        <w:rPr/>
      </w:pPr>
      <w:r>
        <w:rPr>
          <w:rFonts w:ascii="Arial" w:cs="Arial" w:eastAsia="Arial" w:hAnsi="Arial"/>
          <w:b w:val="1"/>
          <w:bCs w:val="1"/>
          <w:color w:val="2e4a78"/>
          <w:sz w:val="24"/>
          <w:szCs w:val="24"/>
          <w:rtl w:val="0"/>
        </w:rPr>
        <w:t xml:space="preserve">Already law</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HB138 (2025): </w:t>
      </w:r>
      <w:r>
        <w:rPr>
          <w:rFonts w:ascii="Arial" w:cs="Arial" w:eastAsia="Arial" w:hAnsi="Arial"/>
          <w:color w:val="444444"/>
          <w:sz w:val="20"/>
          <w:szCs w:val="20"/>
          <w:rtl w:val="0"/>
        </w:rPr>
        <w:t xml:space="preserve">multi-year tax-impact notation required on warrant articles (Chapter 144) — the thread's first win.</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HB1807 (2026): </w:t>
      </w:r>
      <w:r>
        <w:rPr>
          <w:rFonts w:ascii="Arial" w:cs="Arial" w:eastAsia="Arial" w:hAnsi="Arial"/>
          <w:color w:val="444444"/>
          <w:sz w:val="20"/>
          <w:szCs w:val="20"/>
          <w:rtl w:val="0"/>
        </w:rPr>
        <w:t xml:space="preserve">tax rate and tax impact information required on warrant articles; passed the House 185–150 (Chapter 312).</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SB600 (2026): </w:t>
      </w:r>
      <w:r>
        <w:rPr>
          <w:rFonts w:ascii="Arial" w:cs="Arial" w:eastAsia="Arial" w:hAnsi="Arial"/>
          <w:color w:val="444444"/>
          <w:sz w:val="20"/>
          <w:szCs w:val="20"/>
          <w:rtl w:val="0"/>
        </w:rPr>
        <w:t xml:space="preserve">quarterly public reports to the fiscal committee on the general and education trust funds (Chapter 141).</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HB1514 (2026): </w:t>
      </w:r>
      <w:r>
        <w:rPr>
          <w:rFonts w:ascii="Arial" w:cs="Arial" w:eastAsia="Arial" w:hAnsi="Arial"/>
          <w:color w:val="444444"/>
          <w:sz w:val="20"/>
          <w:szCs w:val="20"/>
          <w:rtl w:val="0"/>
        </w:rPr>
        <w:t xml:space="preserve">school monitoring and financial reports sent to school boards and authorities.</w:t>
      </w:r>
    </w:p>
    <w:p>
      <w:pPr>
        <w:spacing w:before="70" w:after="30" w:line="250" w:lineRule="auto"/>
        <w:rPr/>
      </w:pPr>
      <w:r>
        <w:rPr>
          <w:rFonts w:ascii="Arial" w:cs="Arial" w:eastAsia="Arial" w:hAnsi="Arial"/>
          <w:b w:val="1"/>
          <w:bCs w:val="1"/>
          <w:color w:val="2e4a78"/>
          <w:sz w:val="24"/>
          <w:szCs w:val="24"/>
          <w:rtl w:val="0"/>
        </w:rPr>
        <w:t xml:space="preserve">Stopped early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HB284 (2025): </w:t>
      </w:r>
      <w:r>
        <w:rPr>
          <w:rFonts w:ascii="Arial" w:cs="Arial" w:eastAsia="Arial" w:hAnsi="Arial"/>
          <w:color w:val="444444"/>
          <w:sz w:val="20"/>
          <w:szCs w:val="20"/>
          <w:rtl w:val="0"/>
        </w:rPr>
        <w:t xml:space="preserve">tax impact statements on warrant articles — HB138's twin; passed the House 198–160 and was killed on the Senate floor.</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HB495 (2025): </w:t>
      </w:r>
      <w:r>
        <w:rPr>
          <w:rFonts w:ascii="Arial" w:cs="Arial" w:eastAsia="Arial" w:hAnsi="Arial"/>
          <w:color w:val="444444"/>
          <w:sz w:val="20"/>
          <w:szCs w:val="20"/>
          <w:rtl w:val="0"/>
        </w:rPr>
        <w:t xml:space="preserve">a breakdown of tax changes mailed with residents' bills;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SB225 (2025): </w:t>
      </w:r>
      <w:r>
        <w:rPr>
          <w:rFonts w:ascii="Arial" w:cs="Arial" w:eastAsia="Arial" w:hAnsi="Arial"/>
          <w:color w:val="444444"/>
          <w:sz w:val="20"/>
          <w:szCs w:val="20"/>
          <w:rtl w:val="0"/>
        </w:rPr>
        <w:t xml:space="preserve">public notice before local property re-assessments;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SB252 (2022): </w:t>
      </w:r>
      <w:r>
        <w:rPr>
          <w:rFonts w:ascii="Arial" w:cs="Arial" w:eastAsia="Arial" w:hAnsi="Arial"/>
          <w:color w:val="444444"/>
          <w:sz w:val="20"/>
          <w:szCs w:val="20"/>
          <w:rtl w:val="0"/>
        </w:rPr>
        <w:t xml:space="preserve">more information on property tax bills; killed on the Senate floor 13–10.</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HB99 (2023): </w:t>
      </w:r>
      <w:r>
        <w:rPr>
          <w:rFonts w:ascii="Arial" w:cs="Arial" w:eastAsia="Arial" w:hAnsi="Arial"/>
          <w:color w:val="444444"/>
          <w:sz w:val="20"/>
          <w:szCs w:val="20"/>
          <w:rtl w:val="0"/>
        </w:rPr>
        <w:t xml:space="preserve">rebate-program information printed on tax bills;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SB217 (2025): </w:t>
      </w:r>
      <w:r>
        <w:rPr>
          <w:rFonts w:ascii="Arial" w:cs="Arial" w:eastAsia="Arial" w:hAnsi="Arial"/>
          <w:color w:val="444444"/>
          <w:sz w:val="20"/>
          <w:szCs w:val="20"/>
          <w:rtl w:val="0"/>
        </w:rPr>
        <w:t xml:space="preserve">public notice of historic tax rates and project tax impacts; killed in the House.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HB782 (2025): </w:t>
      </w:r>
      <w:r>
        <w:rPr>
          <w:rFonts w:ascii="Arial" w:cs="Arial" w:eastAsia="Arial" w:hAnsi="Arial"/>
          <w:color w:val="444444"/>
          <w:sz w:val="20"/>
          <w:szCs w:val="20"/>
          <w:rtl w:val="0"/>
        </w:rPr>
        <w:t xml:space="preserve">relief-program public awareness (with exemption expansions); killed.</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HB1516 (2026): </w:t>
      </w:r>
      <w:r>
        <w:rPr>
          <w:rFonts w:ascii="Arial" w:cs="Arial" w:eastAsia="Arial" w:hAnsi="Arial"/>
          <w:color w:val="444444"/>
          <w:sz w:val="20"/>
          <w:szCs w:val="20"/>
          <w:rtl w:val="0"/>
        </w:rPr>
        <w:t xml:space="preserve">charts and QR codes on tax bills showing where the money goes;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HB1581 (2026): </w:t>
      </w:r>
      <w:r>
        <w:rPr>
          <w:rFonts w:ascii="Arial" w:cs="Arial" w:eastAsia="Arial" w:hAnsi="Arial"/>
          <w:color w:val="444444"/>
          <w:sz w:val="20"/>
          <w:szCs w:val="20"/>
          <w:rtl w:val="0"/>
        </w:rPr>
        <w:t xml:space="preserve">notice to owners when assessed values change by set amounts; interim study.</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SB583 (2026): </w:t>
      </w:r>
      <w:r>
        <w:rPr>
          <w:rFonts w:ascii="Arial" w:cs="Arial" w:eastAsia="Arial" w:hAnsi="Arial"/>
          <w:color w:val="444444"/>
          <w:sz w:val="20"/>
          <w:szCs w:val="20"/>
          <w:rtl w:val="0"/>
        </w:rPr>
        <w:t xml:space="preserve">an education-funding transparency data system; died on the Senate table.</w:t>
      </w:r>
    </w:p>
    <w:p>
      <w:pPr>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SB532 (2024): </w:t>
      </w:r>
      <w:r>
        <w:rPr>
          <w:rFonts w:ascii="Arial" w:cs="Arial" w:eastAsia="Arial" w:hAnsi="Arial"/>
          <w:color w:val="444444"/>
          <w:sz w:val="20"/>
          <w:szCs w:val="20"/>
          <w:rtl w:val="0"/>
        </w:rPr>
        <w:t xml:space="preserve">requiring towns and school boards to post state funds received; died between the chambers.</w:t>
      </w:r>
    </w:p>
    <w:p>
      <w:pPr>
        <w:sectPr>
          <w:footerReference r:id="rId7" w:type="default"/>
          <w:pgSz w:h="15840" w:w="12240" w:orient="portrait"/>
          <w:pgMar w:bottom="864" w:top="864" w:left="864" w:right="864" w:header="720" w:footer="144"/>
          <w:pgNumType w:start="1"/>
        </w:sectPr>
      </w:pPr>
    </w:p>
    <w:p>
      <w:pPr>
        <w:spacing w:before="84" w:after="36" w:line="254" w:lineRule="auto"/>
        <w:r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Abatement:</w:t>
      </w:r>
      <w:r>
        <w:rPr>
          <w:rFonts w:ascii="Arial" w:cs="Arial" w:eastAsia="Arial" w:hAnsi="Arial"/>
          <w:color w:val="444444"/>
          <w:sz w:val="20"/>
          <w:szCs w:val="20"/>
          <w:rtl w:val="0"/>
        </w:rPr>
        <w:t xml:space="preserve"> The process for correcting an individual property tax bill — homeowners apply to the town, then may appeal to the Board of Tax and Land Appeals or court. A 2024 law (HB202) rewrote the rules; a 2022 law (SB317) cut the interest the state pays back.</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Adequate education / adequacy grants:</w:t>
      </w:r>
      <w:r>
        <w:rPr>
          <w:rFonts w:ascii="Arial" w:cs="Arial" w:eastAsia="Arial" w:hAnsi="Arial"/>
          <w:color w:val="444444"/>
          <w:sz w:val="20"/>
          <w:szCs w:val="20"/>
          <w:rtl w:val="0"/>
        </w:rPr>
        <w:t xml:space="preserve"> The state's per-pupil school aid, built on a base amount ($4,100 since the 2023 budget) plus add-ons for poverty, special education, and English learners.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BET (business enterprise tax):</w:t>
      </w:r>
      <w:r>
        <w:rPr>
          <w:rFonts w:ascii="Arial" w:cs="Arial" w:eastAsia="Arial" w:hAnsi="Arial"/>
          <w:color w:val="444444"/>
          <w:sz w:val="20"/>
          <w:szCs w:val="20"/>
          <w:rtl w:val="0"/>
        </w:rPr>
        <w:t xml:space="preserve"> A 0.55 percent tax on wages, interest, and dividends businesses pay out — cut from 0.675 percent in the 2021 budget. A 2026 repeal bill died.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BPT (business profits tax):</w:t>
      </w:r>
      <w:r>
        <w:rPr>
          <w:rFonts w:ascii="Arial" w:cs="Arial" w:eastAsia="Arial" w:hAnsi="Arial"/>
          <w:color w:val="444444"/>
          <w:sz w:val="20"/>
          <w:szCs w:val="20"/>
          <w:rtl w:val="0"/>
        </w:rPr>
        <w:t xml:space="preserve"> The state's main business tax, 7.5 percent of profits — cut from 7.7 in 2021 and again in 2022. The state's largest tax source.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Board of Tax and Land Appeals (BTLA):</w:t>
      </w:r>
      <w:r>
        <w:rPr>
          <w:rFonts w:ascii="Arial" w:cs="Arial" w:eastAsia="Arial" w:hAnsi="Arial"/>
          <w:color w:val="444444"/>
          <w:sz w:val="20"/>
          <w:szCs w:val="20"/>
          <w:rtl w:val="0"/>
        </w:rPr>
        <w:t xml:space="preserve"> The state board that hears property tax abatement appeals as an alternative to court.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Claremont / ConVal:</w:t>
      </w:r>
      <w:r>
        <w:rPr>
          <w:rFonts w:ascii="Arial" w:cs="Arial" w:eastAsia="Arial" w:hAnsi="Arial"/>
          <w:color w:val="444444"/>
          <w:sz w:val="20"/>
          <w:szCs w:val="20"/>
          <w:rtl w:val="0"/>
        </w:rPr>
        <w:t xml:space="preserve"> The school-funding court cases. Claremont (1990s) made the state responsible for funding an adequate education; ConVal (ongoing) challenges whether current amounts and the SWEPT meet that duty.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Communications services tax:</w:t>
      </w:r>
      <w:r>
        <w:rPr>
          <w:rFonts w:ascii="Arial" w:cs="Arial" w:eastAsia="Arial" w:hAnsi="Arial"/>
          <w:color w:val="444444"/>
          <w:sz w:val="20"/>
          <w:szCs w:val="20"/>
          <w:rtl w:val="0"/>
        </w:rPr>
        <w:t xml:space="preserve"> The 7 percent tax on phone and communications service; repeal bills have reached interim study four times (2022–2026).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Cooperative school district:</w:t>
      </w:r>
      <w:r>
        <w:rPr>
          <w:rFonts w:ascii="Arial" w:cs="Arial" w:eastAsia="Arial" w:hAnsi="Arial"/>
          <w:color w:val="444444"/>
          <w:sz w:val="20"/>
          <w:szCs w:val="20"/>
          <w:rtl w:val="0"/>
        </w:rPr>
        <w:t xml:space="preserve"> A district formed by several towns sharing schools and apportioning costs; withdrawal procedures were rewritten in 2023 and 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Current use:</w:t>
      </w:r>
      <w:r>
        <w:rPr>
          <w:rFonts w:ascii="Arial" w:cs="Arial" w:eastAsia="Arial" w:hAnsi="Arial"/>
          <w:color w:val="444444"/>
          <w:sz w:val="20"/>
          <w:szCs w:val="20"/>
          <w:rtl w:val="0"/>
        </w:rPr>
        <w:t xml:space="preserve"> Farm, forest, and open land taxed on its productive value rather than market value (RSA 79-A); leaving current use triggers the land use change tax.</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Donor town / excess SWEPT:</w:t>
      </w:r>
      <w:r>
        <w:rPr>
          <w:rFonts w:ascii="Arial" w:cs="Arial" w:eastAsia="Arial" w:hAnsi="Arial"/>
          <w:color w:val="444444"/>
          <w:sz w:val="20"/>
          <w:szCs w:val="20"/>
          <w:rtl w:val="0"/>
        </w:rPr>
        <w:t xml:space="preserve"> A town whose statewide education property tax collections exceed its state-computed school cost; whether it keeps the excess (current law) or remits it is the recurring fight (HB1686 2024, HB675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Education freedom accounts (EFAs):</w:t>
      </w:r>
      <w:r>
        <w:rPr>
          <w:rFonts w:ascii="Arial" w:cs="Arial" w:eastAsia="Arial" w:hAnsi="Arial"/>
          <w:color w:val="444444"/>
          <w:sz w:val="20"/>
          <w:szCs w:val="20"/>
          <w:rtl w:val="0"/>
        </w:rPr>
        <w:t xml:space="preserve"> State adequacy money following students out of public schools, paid from the education trust fund since the 2021 budget.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Education trust fund:</w:t>
      </w:r>
      <w:r>
        <w:rPr>
          <w:rFonts w:ascii="Arial" w:cs="Arial" w:eastAsia="Arial" w:hAnsi="Arial"/>
          <w:color w:val="444444"/>
          <w:sz w:val="20"/>
          <w:szCs w:val="20"/>
          <w:rtl w:val="0"/>
        </w:rPr>
        <w:t xml:space="preserve"> The dedicated fund that pays adequacy grants and homeowner relief — fed by fixed shares of the business taxes (39 percent since 2025), tobacco, transfer tax, lottery, and SWEPT.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Equalization:</w:t>
      </w:r>
      <w:r>
        <w:rPr>
          <w:rFonts w:ascii="Arial" w:cs="Arial" w:eastAsia="Arial" w:hAnsi="Arial"/>
          <w:color w:val="444444"/>
          <w:sz w:val="20"/>
          <w:szCs w:val="20"/>
          <w:rtl w:val="0"/>
        </w:rPr>
        <w:t xml:space="preserve"> The state's annual adjustment making town assessments comparable, so shared taxes and aid formulas treat towns fairly; the equalization manual entered state rules in 2023.</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Exemption vs. credit:</w:t>
      </w:r>
      <w:r>
        <w:rPr>
          <w:rFonts w:ascii="Arial" w:cs="Arial" w:eastAsia="Arial" w:hAnsi="Arial"/>
          <w:color w:val="444444"/>
          <w:sz w:val="20"/>
          <w:szCs w:val="20"/>
          <w:rtl w:val="0"/>
        </w:rPr>
        <w:t xml:space="preserve"> An exemption reduces a property's taxable value; a credit reduces the tax bill itself (the veterans' credits are credits; the elderly exemption is an exemption).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Fiscal capacity disparity aid:</w:t>
      </w:r>
      <w:r>
        <w:rPr>
          <w:rFonts w:ascii="Arial" w:cs="Arial" w:eastAsia="Arial" w:hAnsi="Arial"/>
          <w:color w:val="444444"/>
          <w:sz w:val="20"/>
          <w:szCs w:val="20"/>
          <w:rtl w:val="0"/>
        </w:rPr>
        <w:t xml:space="preserve"> Extra school aid (HB2 2025) for towns with low equalized property value per pupil — up to $1,250 per pupil.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Homestead exemption (proposal):</w:t>
      </w:r>
      <w:r>
        <w:rPr>
          <w:rFonts w:ascii="Arial" w:cs="Arial" w:eastAsia="Arial" w:hAnsi="Arial"/>
          <w:color w:val="444444"/>
          <w:sz w:val="20"/>
          <w:szCs w:val="20"/>
          <w:rtl w:val="0"/>
        </w:rPr>
        <w:t xml:space="preserve"> Taxing owner-occupied primary homes on less than full value — a local option in every version filed here. Distinct from the existing homestead right, which protects home equity from creditors and has nothing to do with taxes.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Interest and dividends (I&amp;D) tax:</w:t>
      </w:r>
      <w:r>
        <w:rPr>
          <w:rFonts w:ascii="Arial" w:cs="Arial" w:eastAsia="Arial" w:hAnsi="Arial"/>
          <w:color w:val="444444"/>
          <w:sz w:val="20"/>
          <w:szCs w:val="20"/>
          <w:rtl w:val="0"/>
        </w:rPr>
        <w:t xml:space="preserve"> The 5 percent tax on investment income, phased down from 2023 and repealed January 1, 2025 through the budget trailers.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Low and moderate income homeowners property tax relief:</w:t>
      </w:r>
      <w:r>
        <w:rPr>
          <w:rFonts w:ascii="Arial" w:cs="Arial" w:eastAsia="Arial" w:hAnsi="Arial"/>
          <w:color w:val="444444"/>
          <w:sz w:val="20"/>
          <w:szCs w:val="20"/>
          <w:rtl w:val="0"/>
        </w:rPr>
        <w:t xml:space="preserve"> The state's existing rebate of part of the statewide education property tax for lower-income homeowners; eligibility was widened in 2021 (HB486).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Meals and rooms tax:</w:t>
      </w:r>
      <w:r>
        <w:rPr>
          <w:rFonts w:ascii="Arial" w:cs="Arial" w:eastAsia="Arial" w:hAnsi="Arial"/>
          <w:color w:val="444444"/>
          <w:sz w:val="20"/>
          <w:szCs w:val="20"/>
          <w:rtl w:val="0"/>
        </w:rPr>
        <w:t xml:space="preserve"> The 8.5 percent tax on restaurant meals, room rentals, and vehicle rentals (9 percent before October 2021); a share flows to every town through the municipal revenue fund created in the 2021 budget.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PILOT (payment in lieu of taxes):</w:t>
      </w:r>
      <w:r>
        <w:rPr>
          <w:rFonts w:ascii="Arial" w:cs="Arial" w:eastAsia="Arial" w:hAnsi="Arial"/>
          <w:color w:val="444444"/>
          <w:sz w:val="20"/>
          <w:szCs w:val="20"/>
          <w:rtl w:val="0"/>
        </w:rPr>
        <w:t xml:space="preserve"> Negotiated payments from tax-exempt property owners; renewable-energy PILOT agreements were enabled in 2021 (HB64).</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Rainy day fund (revenue stabilization reserve):</w:t>
      </w:r>
      <w:r>
        <w:rPr>
          <w:rFonts w:ascii="Arial" w:cs="Arial" w:eastAsia="Arial" w:hAnsi="Arial"/>
          <w:color w:val="444444"/>
          <w:sz w:val="20"/>
          <w:szCs w:val="20"/>
          <w:rtl w:val="0"/>
        </w:rPr>
        <w:t xml:space="preserve"> The state's savings account; its cap rose to 10 percent of general fund revenue in 2021.</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Revenue sharing (RSA 31-A):</w:t>
      </w:r>
      <w:r>
        <w:rPr>
          <w:rFonts w:ascii="Arial" w:cs="Arial" w:eastAsia="Arial" w:hAnsi="Arial"/>
          <w:color w:val="444444"/>
          <w:sz w:val="20"/>
          <w:szCs w:val="20"/>
          <w:rtl w:val="0"/>
        </w:rPr>
        <w:t xml:space="preserve"> The general-fund aid statute for cities and towns — suspended in every budget since 2010, repealed outright by HB2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School building aid:</w:t>
      </w:r>
      <w:r>
        <w:rPr>
          <w:rFonts w:ascii="Arial" w:cs="Arial" w:eastAsia="Arial" w:hAnsi="Arial"/>
          <w:color w:val="444444"/>
          <w:sz w:val="20"/>
          <w:szCs w:val="20"/>
          <w:rtl w:val="0"/>
        </w:rPr>
        <w:t xml:space="preserve"> State grants toward school construction; funded at $30 million in 2021, with the program's rules fought over in every session since.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SWEPT (statewide education property tax):</w:t>
      </w:r>
      <w:r>
        <w:rPr>
          <w:rFonts w:ascii="Arial" w:cs="Arial" w:eastAsia="Arial" w:hAnsi="Arial"/>
          <w:color w:val="444444"/>
          <w:sz w:val="20"/>
          <w:szCs w:val="20"/>
          <w:rtl w:val="0"/>
        </w:rPr>
        <w:t xml:space="preserve"> The $363 million property tax the state requires towns to raise and keep for their schools — counted as state aid, collected locally. Every structural change to it died in 2023–2026.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Tax cap:</w:t>
      </w:r>
      <w:r>
        <w:rPr>
          <w:rFonts w:ascii="Arial" w:cs="Arial" w:eastAsia="Arial" w:hAnsi="Arial"/>
          <w:color w:val="444444"/>
          <w:sz w:val="20"/>
          <w:szCs w:val="20"/>
          <w:rtl w:val="0"/>
        </w:rPr>
        <w:t xml:space="preserve"> A charter or ballot limit on how fast a town, city, or school district budget may grow; cap and budget-cap laws passed in 2021, 2024, 2025 (three, including SB105's town budget caps), and 2026.</w:t>
      </w:r>
    </w:p>
    <w:p>
      <w:pPr>
        <w:sectPr>
          <w:type w:val="continuous"/>
          <w:pgSz w:h="15840" w:w="12240" w:orient="portrait"/>
          <w:pgMar w:bottom="864" w:top="864" w:left="864" w:right="864" w:header="720" w:footer="720"/>
          <w:cols w:equalWidth="0" w:num="2">
            <w:col w:space="240" w:w="5135.999999999999"/>
            <w:col w:space="0" w:w="5135.999999999999"/>
          </w:cols>
        </w:sectPr>
      </w:pP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Video lottery terminals (VLTs):</w:t>
      </w:r>
      <w:r>
        <w:rPr>
          <w:rFonts w:ascii="Arial" w:cs="Arial" w:eastAsia="Arial" w:hAnsi="Arial"/>
          <w:color w:val="444444"/>
          <w:sz w:val="20"/>
          <w:szCs w:val="20"/>
          <w:rtl w:val="0"/>
        </w:rPr>
        <w:t xml:space="preserve"> Slot-style machines legalized by HB2 2025 at charitable gaming facilities — 31 percent of machine revenue goes to the state, and SB83 routes state money to reimburse town exemptions.</w:t>
      </w:r>
    </w:p>
    <w:p>
      <w:pPr>
        <w:sectPr>
          <w:type w:val="nextPage"/>
          <w:pgSz w:h="15840" w:w="12240" w:orient="portrait"/>
          <w:pgMar w:bottom="864" w:top="864" w:left="864" w:right="864" w:header="720" w:footer="720"/>
        </w:sectPr>
      </w:pPr>
    </w:p>
    <w:p>
      <w:pPr>
        <w:spacing w:before="84" w:after="36" w:line="254" w:lineRule="auto"/>
        <w:r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HB / SB / CACR / HR:</w:t>
      </w:r>
      <w:r>
        <w:rPr>
          <w:rFonts w:ascii="Arial" w:cs="Arial" w:eastAsia="Arial" w:hAnsi="Arial"/>
          <w:color w:val="444444"/>
          <w:sz w:val="20"/>
          <w:szCs w:val="20"/>
          <w:rtl w:val="0"/>
        </w:rPr>
        <w:t xml:space="preserve"> House Bill and Senate Bill (the chamber a bill started in, plus a number); CACR is a proposed constitutional amendment; HR is a House resolution, which expresses a position but is not law. Numbering restarts each biennium, so the same number in different years is usually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400-member House of Representatives and the 24-member Senate — the largest and one of the smallest state chambers in the country. A bill must pass both to reach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Session / biennium:</w:t>
      </w:r>
      <w:r>
        <w:rPr>
          <w:rFonts w:ascii="Arial" w:cs="Arial" w:eastAsia="Arial" w:hAnsi="Arial"/>
          <w:color w:val="444444"/>
          <w:sz w:val="20"/>
          <w:szCs w:val="20"/>
          <w:rtl w:val="0"/>
        </w:rPr>
        <w:t xml:space="preserve"> The Legislature meets every year, but bills live inside a two-year biennium (2021–22, 2023–24, 2025–26); a first-year bill can be carried into the second year under the same number.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trailer (HB2):</w:t>
      </w:r>
      <w:r>
        <w:rPr>
          <w:rFonts w:ascii="Arial" w:cs="Arial" w:eastAsia="Arial" w:hAnsi="Arial"/>
          <w:color w:val="444444"/>
          <w:sz w:val="20"/>
          <w:szCs w:val="20"/>
          <w:rtl w:val="0"/>
        </w:rPr>
        <w:t xml:space="preserve"> The omnibus policy bill that accompanies each two-year budget (HB1 carries the dollars). Dozens to hundreds of unrelated law changes ride in numbered sections — much of NH tax law is made here. Votes are on the whole trailer, never on one section.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Chapter law:</w:t>
      </w:r>
      <w:r>
        <w:rPr>
          <w:rFonts w:ascii="Arial" w:cs="Arial" w:eastAsia="Arial" w:hAnsi="Arial"/>
          <w:color w:val="444444"/>
          <w:sz w:val="20"/>
          <w:szCs w:val="20"/>
          <w:rtl w:val="0"/>
        </w:rPr>
        <w:t xml:space="preserve"> A bill that becomes law is assigned a chapter number for its year — "Chapter 312"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 — Ought to Pass (OTP) / OTP with Amendment (OTPA) / Inexpedient to Legislate (ITL):</w:t>
      </w:r>
      <w:r>
        <w:rPr>
          <w:rFonts w:ascii="Arial" w:cs="Arial" w:eastAsia="Arial" w:hAnsi="Arial"/>
          <w:color w:val="444444"/>
          <w:sz w:val="20"/>
          <w:szCs w:val="20"/>
          <w:rtl w:val="0"/>
        </w:rPr>
        <w:t xml:space="preserve"> The committee's recommendation to the floor: pass, pass as changed, or kill. "Inexpedient to Legislate" adopted by either chamber is the standard way a New Hampshire bill dies.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Consent calendar:</w:t>
      </w:r>
      <w:r>
        <w:rPr>
          <w:rFonts w:ascii="Arial" w:cs="Arial" w:eastAsia="Arial" w:hAnsi="Arial"/>
          <w:color w:val="444444"/>
          <w:sz w:val="20"/>
          <w:szCs w:val="20"/>
          <w:rtl w:val="0"/>
        </w:rPr>
        <w:t xml:space="preserve"> A batch of uncontested committee recommendations approved in one voice vote; many bills die (or pass) this way without an individual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division / voice vote:</w:t>
      </w:r>
      <w:r>
        <w:rPr>
          <w:rFonts w:ascii="Arial" w:cs="Arial" w:eastAsia="Arial" w:hAnsi="Arial"/>
          <w:color w:val="444444"/>
          <w:sz w:val="20"/>
          <w:szCs w:val="20"/>
          <w:rtl w:val="0"/>
        </w:rPr>
        <w:t xml:space="preserve"> A roll call records each member's vote by name; a division counts votes without names; a voice vote records nothing. Many decisive outcomes in these documents happened on division or voice votes, which is why they carry no member-level tallies.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Laid on the table:</w:t>
      </w:r>
      <w:r>
        <w:rPr>
          <w:rFonts w:ascii="Arial" w:cs="Arial" w:eastAsia="Arial" w:hAnsi="Arial"/>
          <w:color w:val="444444"/>
          <w:sz w:val="20"/>
          <w:szCs w:val="20"/>
          <w:rtl w:val="0"/>
        </w:rPr>
        <w:t xml:space="preserve"> A motion that sets a bill aside; unless a later motion removes it, the bill dies there at the session's end.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Interim study:</w:t>
      </w:r>
      <w:r>
        <w:rPr>
          <w:rFonts w:ascii="Arial" w:cs="Arial" w:eastAsia="Arial" w:hAnsi="Arial"/>
          <w:color w:val="444444"/>
          <w:sz w:val="20"/>
          <w:szCs w:val="20"/>
          <w:rtl w:val="0"/>
        </w:rPr>
        <w:t xml:space="preserve"> A committee keeps the bill for study between sessions instead of passing or killing it; the bill itself is dead, but the idea may return with a recommendation.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Retained / rereferred:</w:t>
      </w:r>
      <w:r>
        <w:rPr>
          <w:rFonts w:ascii="Arial" w:cs="Arial" w:eastAsia="Arial" w:hAnsi="Arial"/>
          <w:color w:val="444444"/>
          <w:sz w:val="20"/>
          <w:szCs w:val="20"/>
          <w:rtl w:val="0"/>
        </w:rPr>
        <w:t xml:space="preserve"> The House retains, the Senate rereferrs — the committee keeps a first-year bill over the summer and acts on it in the second year of the biennium.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of conference:</w:t>
      </w:r>
      <w:r>
        <w:rPr>
          <w:rFonts w:ascii="Arial" w:cs="Arial" w:eastAsia="Arial" w:hAnsi="Arial"/>
          <w:color w:val="444444"/>
          <w:sz w:val="20"/>
          <w:szCs w:val="20"/>
          <w:rtl w:val="0"/>
        </w:rPr>
        <w:t xml:space="preserve"> Negotiators from both chambers reconcile differing versions; if they cannot agree, or a chamber rejects the report, the bill dies "between the chambers."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Concur / nonconcur:</w:t>
      </w:r>
      <w:r>
        <w:rPr>
          <w:rFonts w:ascii="Arial" w:cs="Arial" w:eastAsia="Arial" w:hAnsi="Arial"/>
          <w:color w:val="444444"/>
          <w:sz w:val="20"/>
          <w:szCs w:val="20"/>
          <w:rtl w:val="0"/>
        </w:rPr>
        <w:t xml:space="preserve"> When the second chamber amends a bill, the first chamber must accept (concur in) the change, ask for a conference, or let the bill die.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Senate Rule 3-23 deadline:</w:t>
      </w:r>
      <w:r>
        <w:rPr>
          <w:rFonts w:ascii="Arial" w:cs="Arial" w:eastAsia="Arial" w:hAnsi="Arial"/>
          <w:color w:val="444444"/>
          <w:sz w:val="20"/>
          <w:szCs w:val="20"/>
          <w:rtl w:val="0"/>
        </w:rPr>
        <w:t xml:space="preserve"> The Senate's internal end-of-year deadline; bills still pending are automatically declared Inexpedient to Legislate — several tax and municipal-aid bills died this way after unanimous votes.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Governor and Executive Council:</w:t>
      </w:r>
      <w:r>
        <w:rPr>
          <w:rFonts w:ascii="Arial" w:cs="Arial" w:eastAsia="Arial" w:hAnsi="Arial"/>
          <w:color w:val="444444"/>
          <w:sz w:val="20"/>
          <w:szCs w:val="20"/>
          <w:rtl w:val="0"/>
        </w:rPr>
        <w:t xml:space="preserve"> The Governor signs or vetoes bills; the elected five-member Executive Council confirms appointments — including the tax officials and board members these documents mention.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Governor's rejection of a passed bill; overriding takes two-thirds of each chamber. Four tax bills were vetoed in this record, and no override succeeded.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prime sponsor:</w:t>
      </w:r>
      <w:r>
        <w:rPr>
          <w:rFonts w:ascii="Arial" w:cs="Arial" w:eastAsia="Arial" w:hAnsi="Arial"/>
          <w:color w:val="444444"/>
          <w:sz w:val="20"/>
          <w:szCs w:val="20"/>
          <w:rtl w:val="0"/>
        </w:rPr>
        <w:t xml:space="preserve"> The lawmakers who formally introduce a bill; the prime sponsor is its lead author. Cross-party sponsor teams appear throughout the relief and transparency records.</w:t>
      </w:r>
    </w:p>
    <w:p>
      <w:pPr>
        <w:sectPr>
          <w:type w:val="continuous"/>
          <w:pgSz w:h="15840" w:w="12240" w:orient="portrait"/>
          <w:pgMar w:bottom="864" w:top="864" w:left="864" w:right="864" w:header="720" w:footer="720"/>
          <w:cols w:equalWidth="0" w:num="2">
            <w:col w:space="240" w:w="5135.999999999999"/>
            <w:col w:space="0" w:w="5135.999999999999"/>
          </w:cols>
        </w:sectPr>
      </w:pP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Vote pairs such as "202–171":</w:t>
      </w:r>
      <w:r>
        <w:rPr>
          <w:rFonts w:ascii="Arial" w:cs="Arial" w:eastAsia="Arial" w:hAnsi="Arial"/>
          <w:color w:val="444444"/>
          <w:sz w:val="20"/>
          <w:szCs w:val="20"/>
          <w:rtl w:val="0"/>
        </w:rPr>
        <w:t xml:space="preserve"> Floor votes are yes–no tallies, one per chamber; in the 400-member House a bill can pass by a wide margin and still die in the 24-member Senate.</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NH1 Property Taxes Legislative Brief v1.0</w:t>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