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keepNext/>
        <w:spacing w:after="40" w:line="276" w:lineRule="auto"/>
        <w:rPr/>
      </w:pPr>
      <w:r>
        <w:rPr>
          <w:rFonts w:ascii="Arial" w:cs="Arial" w:eastAsia="Arial" w:hAnsi="Arial"/>
          <w:b w:val="1"/>
          <w:bCs w:val="1"/>
          <w:color w:val="1a2d4f"/>
          <w:sz w:val="36"/>
          <w:szCs w:val="36"/>
          <w:rtl w:val="0"/>
        </w:rPr>
        <w:t xml:space="preserve">Rising Cost of Living in South Carolina</w:t>
      </w:r>
    </w:p>
    <w:p>
      <w:pPr>
        <w:keepNext/>
        <w:spacing w:after="120" w:line="276" w:lineRule="auto"/>
        <w:rPr/>
      </w:pPr>
      <w:r>
        <w:rPr>
          <w:rFonts w:ascii="Arial" w:cs="Arial" w:eastAsia="Arial" w:hAnsi="Arial"/>
          <w:color w:val="444444"/>
          <w:sz w:val="20"/>
          <w:szCs w:val="20"/>
          <w:rtl w:val="0"/>
        </w:rPr>
        <w:t xml:space="preserve">The legislative record behind the final proposal grid's cost-of-living proposals, 2019–2026 — organized by how close each idea has come to becoming law.</w:t>
      </w:r>
    </w:p>
    <w:p>
      <w:pPr>
        <w:keepNext/>
        <w:spacing w:before="84" w:after="36" w:line="276" w:lineRule="auto"/>
        <w:rPr/>
      </w:pPr>
      <w:r>
        <w:rPr>
          <w:rFonts w:ascii="Arial" w:cs="Arial" w:eastAsia="Arial" w:hAnsi="Arial"/>
          <w:b w:val="1"/>
          <w:bCs w:val="1"/>
          <w:color w:val="c0392b"/>
          <w:sz w:val="25"/>
          <w:szCs w:val="25"/>
          <w:rtl w:val="0"/>
        </w:rPr>
        <w:t xml:space="preserve">WHAT THIS BRIEF COVERS</w:t>
      </w:r>
    </w:p>
    <w:p>
      <w:pPr>
        <w:widowControl/>
        <w:spacing w:after="49" w:line="276" w:lineRule="auto"/>
        <w:rPr/>
      </w:pPr>
      <w:r>
        <w:rPr>
          <w:rFonts w:ascii="Arial" w:cs="Arial" w:eastAsia="Arial" w:hAnsi="Arial"/>
          <w:color w:val="444444"/>
          <w:sz w:val="20"/>
          <w:szCs w:val="20"/>
          <w:rtl w:val="0"/>
        </w:rPr>
        <w:t xml:space="preserve">Housing, utility bills, and taxes are the squeeze South Carolinians named in the Community Conversations, and the General Assembly has been busy on all three. Across the last four two-year sessions (2019–2026), lawmakers took up 257 cost-of-living bills in this set, and 31 became law. What passes is either a narrow, near-unanimous fix — a property tax break for disabled veterans, background checks for childcare staff — or a big negotiated package, like the Santee Cooper reform of 2021 and the income tax cuts of 2022 and 2026; four of every five bills here died in their first committee, where South Carolina records no vote counts at all. Against that record, the grid's proposals sit in four different places: personal finance in schools is already policy, delivered by a budget proviso and a regulation; utility transparency is half-done — the oversight machinery is law, while the accountability bills pass the House near-unanimously and die in Senate Judiciary; property and vehicle tax relief passes only in targeted or one-year budget forms; and opening the electricity market has been studied once and never voted on. A closing note covers child care assistance, a topic sitting legislators have raised — it is not a Phase 2 proposal.</w:t>
      </w:r>
    </w:p>
    <w:tbl>
      <w:tblPr>
        <w:tblStyle w:val="Table1"/>
        <w:tblW w:w="10512.0" w:type="dxa"/>
        <w:jc w:val="center"/>
        <w:tblLayout w:type="fixed"/>
        <w:tblLook w:val="0400"/>
      </w:tblPr>
      <w:tblGrid>
        <w:gridCol w:w="2628"/>
        <w:gridCol w:w="2628"/>
        <w:gridCol w:w="2628"/>
        <w:gridCol w:w="2628"/>
        <w:tblGridChange w:id="0">
          <w:tblGrid>
            <w:gridCol w:w="2628"/>
            <w:gridCol w:w="2628"/>
            <w:gridCol w:w="2628"/>
            <w:gridCol w:w="2628"/>
          </w:tblGrid>
        </w:tblGridChange>
      </w:tblGrid>
      <w:tr>
        <w:trPr>
          <w:cantSplit w:val="0"/>
          <w:tblHeader w:val="0"/>
        </w:trPr>
        <w:tc>
          <w:tcPr>
            <w:tcBorders>
              <w:top w:color="1a2d4f" w:space="0" w:sz="24" w:val="single"/>
              <w:left w:color="cccccc" w:space="0" w:sz="4" w:val="single"/>
              <w:bottom w:color="cccccc" w:space="0" w:sz="4" w:val="single"/>
              <w:right w:color="cccccc" w:space="0" w:sz="4" w:val="single"/>
            </w:tcBorders>
            <w:tcMar>
              <w:top w:w="50.0" w:type="dxa"/>
              <w:left w:w="90.0" w:type="dxa"/>
              <w:bottom w:w="60.0" w:type="dxa"/>
              <w:right w:w="90.0" w:type="dxa"/>
            </w:tcMar>
          </w:tcPr>
          <w:p w:rsidR="00000000" w:rsidDel="00000000" w:rsidP="00000000" w:rsidRDefault="00000000" w:rsidRPr="00000000" w14:paraId="00000005">
            <w:pPr>
              <w:spacing w:after="20" w:line="276" w:lineRule="auto"/>
              <w:rPr/>
            </w:pPr>
            <w:r w:rsidDel="00000000" w:rsidR="00000000" w:rsidRPr="00000000">
              <w:rPr>
                <w:rFonts w:ascii="Arial" w:cs="Arial" w:eastAsia="Arial" w:hAnsi="Arial"/>
                <w:b w:val="1"/>
                <w:bCs w:val="1"/>
                <w:color w:val="1a2d4f"/>
                <w:sz w:val="36"/>
                <w:szCs w:val="36"/>
                <w:rtl w:val="0"/>
              </w:rPr>
              <w:t xml:space="preserve">257</w:t>
            </w:r>
            <w:r w:rsidDel="00000000" w:rsidR="00000000" w:rsidRPr="00000000">
              <w:rPr>
                <w:rtl w:val="0"/>
              </w:rPr>
            </w:r>
          </w:p>
          <w:p w:rsidR="00000000" w:rsidDel="00000000" w:rsidP="00000000" w:rsidRDefault="00000000" w:rsidRPr="00000000" w14:paraId="00000006">
            <w:pPr>
              <w:spacing w:after="0" w:line="276" w:lineRule="auto"/>
              <w:rPr/>
            </w:pPr>
            <w:r w:rsidDel="00000000" w:rsidR="00000000" w:rsidRPr="00000000">
              <w:rPr>
                <w:rFonts w:ascii="Arial" w:cs="Arial" w:eastAsia="Arial" w:hAnsi="Arial"/>
                <w:color w:val="666666"/>
                <w:sz w:val="20"/>
                <w:szCs w:val="20"/>
                <w:rtl w:val="0"/>
              </w:rPr>
              <w:t xml:space="preserve">cost-of-living bills, 2019–2026</w:t>
            </w:r>
            <w:r w:rsidDel="00000000" w:rsidR="00000000" w:rsidRPr="00000000">
              <w:rPr>
                <w:rtl w:val="0"/>
              </w:rPr>
            </w:r>
          </w:p>
        </w:tc>
        <w:tc>
          <w:tcPr>
            <w:tcBorders>
              <w:top w:color="1a2d4f" w:space="0" w:sz="24" w:val="single"/>
              <w:left w:color="cccccc" w:space="0" w:sz="4" w:val="single"/>
              <w:bottom w:color="cccccc" w:space="0" w:sz="4" w:val="single"/>
              <w:right w:color="cccccc" w:space="0" w:sz="4" w:val="single"/>
            </w:tcBorders>
            <w:tcMar>
              <w:top w:w="50.0" w:type="dxa"/>
              <w:left w:w="90.0" w:type="dxa"/>
              <w:bottom w:w="60.0" w:type="dxa"/>
              <w:right w:w="90.0" w:type="dxa"/>
            </w:tcMar>
          </w:tcPr>
          <w:p w:rsidR="00000000" w:rsidDel="00000000" w:rsidP="00000000" w:rsidRDefault="00000000" w:rsidRPr="00000000" w14:paraId="00000007">
            <w:pPr>
              <w:spacing w:after="20" w:line="276" w:lineRule="auto"/>
              <w:rPr/>
            </w:pPr>
            <w:r w:rsidDel="00000000" w:rsidR="00000000" w:rsidRPr="00000000">
              <w:rPr>
                <w:rFonts w:ascii="Arial" w:cs="Arial" w:eastAsia="Arial" w:hAnsi="Arial"/>
                <w:b w:val="1"/>
                <w:bCs w:val="1"/>
                <w:color w:val="1a2d4f"/>
                <w:sz w:val="36"/>
                <w:szCs w:val="36"/>
                <w:rtl w:val="0"/>
              </w:rPr>
              <w:t xml:space="preserve">31</w:t>
            </w:r>
            <w:r w:rsidDel="00000000" w:rsidR="00000000" w:rsidRPr="00000000">
              <w:rPr>
                <w:rtl w:val="0"/>
              </w:rPr>
            </w:r>
          </w:p>
          <w:p w:rsidR="00000000" w:rsidDel="00000000" w:rsidP="00000000" w:rsidRDefault="00000000" w:rsidRPr="00000000" w14:paraId="00000008">
            <w:pPr>
              <w:spacing w:after="0" w:line="276" w:lineRule="auto"/>
              <w:rPr/>
            </w:pPr>
            <w:r w:rsidDel="00000000" w:rsidR="00000000" w:rsidRPr="00000000">
              <w:rPr>
                <w:rFonts w:ascii="Arial" w:cs="Arial" w:eastAsia="Arial" w:hAnsi="Arial"/>
                <w:color w:val="666666"/>
                <w:sz w:val="20"/>
                <w:szCs w:val="20"/>
                <w:rtl w:val="0"/>
              </w:rPr>
              <w:t xml:space="preserve">became law — narrow fixes and big negotiated packages</w:t>
            </w:r>
            <w:r w:rsidDel="00000000" w:rsidR="00000000" w:rsidRPr="00000000">
              <w:rPr>
                <w:rtl w:val="0"/>
              </w:rPr>
            </w:r>
          </w:p>
        </w:tc>
        <w:tc>
          <w:tcPr>
            <w:tcBorders>
              <w:top w:color="1a2d4f" w:space="0" w:sz="24" w:val="single"/>
              <w:left w:color="cccccc" w:space="0" w:sz="4" w:val="single"/>
              <w:bottom w:color="cccccc" w:space="0" w:sz="4" w:val="single"/>
              <w:right w:color="cccccc" w:space="0" w:sz="4" w:val="single"/>
            </w:tcBorders>
            <w:tcMar>
              <w:top w:w="50.0" w:type="dxa"/>
              <w:left w:w="90.0" w:type="dxa"/>
              <w:bottom w:w="60.0" w:type="dxa"/>
              <w:right w:w="90.0" w:type="dxa"/>
            </w:tcMar>
          </w:tcPr>
          <w:p w:rsidR="00000000" w:rsidDel="00000000" w:rsidP="00000000" w:rsidRDefault="00000000" w:rsidRPr="00000000" w14:paraId="00000009">
            <w:pPr>
              <w:spacing w:after="20" w:line="276" w:lineRule="auto"/>
              <w:rPr/>
            </w:pPr>
            <w:r w:rsidDel="00000000" w:rsidR="00000000" w:rsidRPr="00000000">
              <w:rPr>
                <w:rFonts w:ascii="Arial" w:cs="Arial" w:eastAsia="Arial" w:hAnsi="Arial"/>
                <w:b w:val="1"/>
                <w:bCs w:val="1"/>
                <w:color w:val="1a2d4f"/>
                <w:sz w:val="36"/>
                <w:szCs w:val="36"/>
                <w:rtl w:val="0"/>
              </w:rPr>
              <w:t xml:space="preserve">438–1</w:t>
            </w:r>
            <w:r w:rsidDel="00000000" w:rsidR="00000000" w:rsidRPr="00000000">
              <w:rPr>
                <w:rtl w:val="0"/>
              </w:rPr>
            </w:r>
          </w:p>
          <w:p w:rsidR="00000000" w:rsidDel="00000000" w:rsidP="00000000" w:rsidRDefault="00000000" w:rsidRPr="00000000" w14:paraId="0000000A">
            <w:pPr>
              <w:spacing w:after="0" w:line="276" w:lineRule="auto"/>
              <w:rPr/>
            </w:pPr>
            <w:r w:rsidDel="00000000" w:rsidR="00000000" w:rsidRPr="00000000">
              <w:rPr>
                <w:rFonts w:ascii="Arial" w:cs="Arial" w:eastAsia="Arial" w:hAnsi="Arial"/>
                <w:color w:val="666666"/>
                <w:sz w:val="20"/>
                <w:szCs w:val="20"/>
                <w:rtl w:val="0"/>
              </w:rPr>
              <w:t xml:space="preserve">the House's combined margin on four utility-accountability bills; every one died in Senate Judiciary</w:t>
            </w:r>
            <w:r w:rsidDel="00000000" w:rsidR="00000000" w:rsidRPr="00000000">
              <w:rPr>
                <w:rtl w:val="0"/>
              </w:rPr>
            </w:r>
          </w:p>
        </w:tc>
        <w:tc>
          <w:tcPr>
            <w:tcBorders>
              <w:top w:color="1a2d4f" w:space="0" w:sz="24" w:val="single"/>
              <w:left w:color="cccccc" w:space="0" w:sz="4" w:val="single"/>
              <w:bottom w:color="cccccc" w:space="0" w:sz="4" w:val="single"/>
              <w:right w:color="cccccc" w:space="0" w:sz="4" w:val="single"/>
            </w:tcBorders>
            <w:tcMar>
              <w:top w:w="50.0" w:type="dxa"/>
              <w:left w:w="90.0" w:type="dxa"/>
              <w:bottom w:w="60.0" w:type="dxa"/>
              <w:right w:w="90.0" w:type="dxa"/>
            </w:tcMar>
          </w:tcPr>
          <w:p w:rsidR="00000000" w:rsidDel="00000000" w:rsidP="00000000" w:rsidRDefault="00000000" w:rsidRPr="00000000" w14:paraId="0000000B">
            <w:pPr>
              <w:spacing w:after="20" w:line="276" w:lineRule="auto"/>
              <w:rPr/>
            </w:pPr>
            <w:r w:rsidDel="00000000" w:rsidR="00000000" w:rsidRPr="00000000">
              <w:rPr>
                <w:rFonts w:ascii="Arial" w:cs="Arial" w:eastAsia="Arial" w:hAnsi="Arial"/>
                <w:b w:val="1"/>
                <w:bCs w:val="1"/>
                <w:color w:val="1a2d4f"/>
                <w:sz w:val="28"/>
                <w:szCs w:val="28"/>
                <w:rtl w:val="0"/>
              </w:rPr>
              <w:t xml:space="preserve">1 of 4</w:t>
            </w:r>
            <w:r w:rsidDel="00000000" w:rsidR="00000000" w:rsidRPr="00000000">
              <w:rPr>
                <w:rtl w:val="0"/>
              </w:rPr>
            </w:r>
          </w:p>
          <w:p w:rsidR="00000000" w:rsidDel="00000000" w:rsidP="00000000" w:rsidRDefault="00000000" w:rsidRPr="00000000" w14:paraId="0000000C">
            <w:pPr>
              <w:spacing w:after="0" w:line="276" w:lineRule="auto"/>
              <w:rPr/>
            </w:pPr>
            <w:r w:rsidDel="00000000" w:rsidR="00000000" w:rsidRPr="00000000">
              <w:rPr>
                <w:rFonts w:ascii="Arial" w:cs="Arial" w:eastAsia="Arial" w:hAnsi="Arial"/>
                <w:color w:val="666666"/>
                <w:sz w:val="20"/>
                <w:szCs w:val="20"/>
                <w:rtl w:val="0"/>
              </w:rPr>
              <w:t xml:space="preserve">grid proposals already policy — personal finance in schools</w:t>
            </w:r>
            <w:r w:rsidDel="00000000" w:rsidR="00000000" w:rsidRPr="00000000">
              <w:rPr>
                <w:rtl w:val="0"/>
              </w:rPr>
            </w:r>
          </w:p>
        </w:tc>
      </w:tr>
    </w:tbl>
    <w:p>
      <w:pPr>
        <w:spacing w:after="40" w:line="276" w:lineRule="auto"/>
        <w:rPr/>
      </w:pPr>
    </w:p>
    <w:p>
      <w:pPr>
        <w:keepNext/>
        <w:spacing w:before="84" w:after="36" w:line="276" w:lineRule="auto"/>
        <w:rPr/>
      </w:pPr>
      <w:r>
        <w:rPr>
          <w:rFonts w:ascii="Arial" w:cs="Arial" w:eastAsia="Arial" w:hAnsi="Arial"/>
          <w:b w:val="1"/>
          <w:bCs w:val="1"/>
          <w:color w:val="c0392b"/>
          <w:sz w:val="25"/>
          <w:szCs w:val="25"/>
          <w:rtl w:val="0"/>
        </w:rPr>
        <w:t xml:space="preserve">ALSO IN THE STATE BUDGET (PROVISOS)</w:t>
      </w:r>
    </w:p>
    <w:p>
      <w:pPr>
        <w:widowControl/>
        <w:spacing w:after="49" w:line="276" w:lineRule="auto"/>
        <w:rPr/>
      </w:pPr>
      <w:r>
        <w:rPr>
          <w:rFonts w:ascii="Arial" w:cs="Arial" w:eastAsia="Arial" w:hAnsi="Arial"/>
          <w:color w:val="444444"/>
          <w:sz w:val="20"/>
          <w:szCs w:val="20"/>
          <w:rtl w:val="0"/>
        </w:rPr>
        <w:t xml:space="preserve">Some of the biggest cost-of-living moves never appear in a stand-alone law. They live in provisos — one-year policy rules enacted inside Part IB of the annual budget bill. This year's budget (FY 2026-27) gives qualifying seniors and disabled homeowners an extra $25,000 homestead exemption on top of the standing $50,000, with the state repaying local governments (proviso 117.220), and puts the income tax cut into effect faster than the tax law's own triggers (proviso 117.191, as proviso 117.208 did last year). The financial-education proposal became real this way: FY 2022-23 proviso 1.101 ordered the State Board of Education to write the half-credit personal finance graduation requirement into regulation after the bill version died in conference. The Public Service Commission's funding to oversee Santee Cooper is a proviso (72.3), not permanent law. Childcare runs the same way — the federal voucher program's rules (38.17), a new provider fraud-reporting requirement (38.28), and Full-Day 4K all live in the budget — and this year adds a state program building affordable starter homes ("Made it Home!", proviso 42.7). One budget year is a gap: FY 2020-21 has no enacted proviso set — the budget bill died in committee during COVID and the state ran on a continuing resolution. Votes on provisos are votes on the whole budget bill, never on one proviso alone.</w:t>
      </w:r>
    </w:p>
    <w:p>
      <w:pPr>
        <w:keepNext/>
        <w:spacing w:before="84" w:after="36" w:line="276" w:lineRule="auto"/>
        <w:rPr/>
      </w:pPr>
      <w:r>
        <w:rPr>
          <w:rFonts w:ascii="Arial" w:cs="Arial" w:eastAsia="Arial" w:hAnsi="Arial"/>
          <w:b w:val="1"/>
          <w:bCs w:val="1"/>
          <w:color w:val="c0392b"/>
          <w:sz w:val="25"/>
          <w:szCs w:val="25"/>
          <w:rtl w:val="0"/>
        </w:rPr>
        <w:t xml:space="preserve">CLOSEST TO LAW: BILLS THAT PASSED BOTH CHAMBERS</w:t>
      </w:r>
    </w:p>
    <w:p>
      <w:pPr>
        <w:keepNext/>
        <w:spacing w:after="36" w:line="276" w:lineRule="auto"/>
        <w:rPr/>
      </w:pPr>
      <w:r>
        <w:rPr>
          <w:rFonts w:ascii="Arial" w:cs="Arial" w:eastAsia="Arial" w:hAnsi="Arial"/>
          <w:i w:val="1"/>
          <w:iCs w:val="1"/>
          <w:color w:val="666666"/>
          <w:sz w:val="20"/>
          <w:szCs w:val="20"/>
          <w:rtl w:val="0"/>
        </w:rPr>
        <w:t xml:space="preserve">Three bills in this record passed both houses and still died — and two of their ideas became law anyway.</w:t>
      </w:r>
    </w:p>
    <w:p>
      <w:pPr>
        <w:keepNext/>
        <w:spacing w:before="70" w:after="30" w:line="276" w:lineRule="auto"/>
        <w:rPr/>
      </w:pPr>
      <w:r>
        <w:rPr>
          <w:rFonts w:ascii="Arial" w:cs="Arial" w:eastAsia="Arial" w:hAnsi="Arial"/>
          <w:b w:val="1"/>
          <w:bCs w:val="1"/>
          <w:color w:val="2e4a78"/>
          <w:sz w:val="24"/>
          <w:szCs w:val="24"/>
          <w:rtl w:val="0"/>
        </w:rPr>
        <w:t xml:space="preserve">Passed both chambers, then died in conference</w:t>
      </w:r>
    </w:p>
    <w:p>
      <w:pPr>
        <w:widowControl/>
        <w:spacing w:after="49" w:line="276" w:lineRule="auto"/>
        <w:rPr/>
      </w:pPr>
      <w:r>
        <w:rPr>
          <w:rFonts w:ascii="Arial" w:cs="Arial" w:eastAsia="Arial" w:hAnsi="Arial"/>
          <w:b w:val="1"/>
          <w:bCs w:val="1"/>
          <w:color w:val="1a2d4f"/>
          <w:sz w:val="20"/>
          <w:szCs w:val="20"/>
          <w:rtl w:val="0"/>
        </w:rPr>
        <w:t xml:space="preserve">The 2024 energy package — H5118 (2024)</w:t>
      </w:r>
      <w:r>
        <w:rPr>
          <w:rFonts w:ascii="Arial" w:cs="Arial" w:eastAsia="Arial" w:hAnsi="Arial"/>
          <w:color w:val="444444"/>
          <w:sz w:val="20"/>
          <w:szCs w:val="20"/>
          <w:rtl w:val="0"/>
        </w:rPr>
        <w:t xml:space="preserve"> passed the House 88–21 and the Senate 40–2, then died in conference after the House refused the Senate's amendments 23–76; its successor became the Energy Security Act a year later (H3309, Act 41 of 2025, 94–11 and 38–3). </w:t>
      </w:r>
      <w:r>
        <w:rPr>
          <w:rFonts w:ascii="Arial" w:cs="Arial" w:eastAsia="Arial" w:hAnsi="Arial"/>
          <w:b w:val="1"/>
          <w:bCs w:val="1"/>
          <w:color w:val="1a2d4f"/>
          <w:sz w:val="20"/>
          <w:szCs w:val="20"/>
          <w:rtl w:val="0"/>
        </w:rPr>
        <w:t xml:space="preserve">The personal finance graduation requirement — S16 (2022)</w:t>
      </w:r>
      <w:r>
        <w:rPr>
          <w:rFonts w:ascii="Arial" w:cs="Arial" w:eastAsia="Arial" w:hAnsi="Arial"/>
          <w:color w:val="444444"/>
          <w:sz w:val="20"/>
          <w:szCs w:val="20"/>
          <w:rtl w:val="0"/>
        </w:rPr>
        <w:t xml:space="preserve"> passed the Senate 44–1 and the House 109–0 in differing versions and died in conference — and the idea did not: that same year, budget proviso 1.101 ordered the requirement into regulation, and Regulation 43-234 took effect in May 2023, binding every student entering ninth grade from fall 2023 (the Class of 2027 first). </w:t>
      </w:r>
      <w:r>
        <w:rPr>
          <w:rFonts w:ascii="Arial" w:cs="Arial" w:eastAsia="Arial" w:hAnsi="Arial"/>
          <w:b w:val="1"/>
          <w:bCs w:val="1"/>
          <w:color w:val="1a2d4f"/>
          <w:sz w:val="20"/>
          <w:szCs w:val="20"/>
          <w:rtl w:val="0"/>
        </w:rPr>
        <w:t xml:space="preserve">Childcare regulations modernization — S946 (2024)</w:t>
      </w:r>
      <w:r>
        <w:rPr>
          <w:rFonts w:ascii="Arial" w:cs="Arial" w:eastAsia="Arial" w:hAnsi="Arial"/>
          <w:color w:val="444444"/>
          <w:sz w:val="20"/>
          <w:szCs w:val="20"/>
          <w:rtl w:val="0"/>
        </w:rPr>
        <w:t xml:space="preserve"> passed the Senate 45–0 and the House 105–0 and died the same way. No cost-of-living bill in this record was vetoed.</w:t>
      </w:r>
    </w:p>
    <w:p>
      <w:pPr>
        <w:keepNext/>
        <w:spacing w:before="84" w:after="36" w:line="276" w:lineRule="auto"/>
        <w:rPr/>
      </w:pPr>
      <w:r>
        <w:rPr>
          <w:rFonts w:ascii="Arial" w:cs="Arial" w:eastAsia="Arial" w:hAnsi="Arial"/>
          <w:b w:val="1"/>
          <w:bCs w:val="1"/>
          <w:color w:val="c0392b"/>
          <w:sz w:val="25"/>
          <w:szCs w:val="25"/>
          <w:rtl w:val="0"/>
        </w:rPr>
        <w:t xml:space="preserve">PROVEN SUPPORT: CLEARED A CHAMBER OR A COMMITTEE</w:t>
      </w:r>
    </w:p>
    <w:p>
      <w:pPr>
        <w:keepNext/>
        <w:spacing w:after="36" w:line="276" w:lineRule="auto"/>
        <w:rPr/>
      </w:pPr>
      <w:r>
        <w:rPr>
          <w:rFonts w:ascii="Arial" w:cs="Arial" w:eastAsia="Arial" w:hAnsi="Arial"/>
          <w:i w:val="1"/>
          <w:iCs w:val="1"/>
          <w:color w:val="666666"/>
          <w:sz w:val="20"/>
          <w:szCs w:val="20"/>
          <w:rtl w:val="0"/>
        </w:rPr>
        <w:t xml:space="preserve">Each bill won a floor majority — several unanimous — before stalling in the other chamber.</w:t>
      </w:r>
    </w:p>
    <w:p>
      <w:pPr>
        <w:widowControl/>
        <w:spacing w:after="49" w:line="276" w:lineRule="auto"/>
        <w:rPr/>
      </w:pPr>
      <w:r>
        <w:rPr>
          <w:rFonts w:ascii="Arial" w:cs="Arial" w:eastAsia="Arial" w:hAnsi="Arial"/>
          <w:b w:val="1"/>
          <w:bCs w:val="1"/>
          <w:color w:val="1a2d4f"/>
          <w:sz w:val="20"/>
          <w:szCs w:val="20"/>
          <w:rtl w:val="0"/>
        </w:rPr>
        <w:t xml:space="preserve">The Ratepayer Protection Act — H4260 (2019).</w:t>
      </w:r>
      <w:r>
        <w:rPr>
          <w:rFonts w:ascii="Arial" w:cs="Arial" w:eastAsia="Arial" w:hAnsi="Arial"/>
          <w:color w:val="444444"/>
          <w:sz w:val="20"/>
          <w:szCs w:val="20"/>
          <w:rtl w:val="0"/>
        </w:rPr>
        <w:t xml:space="preserve"> Banned utilities from giving campaign contributions, meals, or anything of value to the legislators' panel that screens utility regulators, protected utility whistleblowers, and tightened regulator conflict-of-interest rules; passed the House 105–1 and died in Senate Judiciary without a vote. The revolving-door ban (H4776, 2019) passed the House 101–0, and the whistleblower refiles passed 118–0 (H4149, 2022) and 114–0 (H3614, 2023) — same committee, same ending, four times in eight years.</w:t>
      </w:r>
    </w:p>
    <w:p>
      <w:pPr>
        <w:widowControl/>
        <w:spacing w:after="49" w:line="276" w:lineRule="auto"/>
        <w:rPr/>
      </w:pPr>
      <w:r>
        <w:rPr>
          <w:rFonts w:ascii="Arial" w:cs="Arial" w:eastAsia="Arial" w:hAnsi="Arial"/>
          <w:b w:val="1"/>
          <w:bCs w:val="1"/>
          <w:color w:val="1a2d4f"/>
          <w:sz w:val="20"/>
          <w:szCs w:val="20"/>
          <w:rtl w:val="0"/>
        </w:rPr>
        <w:t xml:space="preserve">The homestead exemption increase — S768 (2026).</w:t>
      </w:r>
      <w:r>
        <w:rPr>
          <w:rFonts w:ascii="Arial" w:cs="Arial" w:eastAsia="Arial" w:hAnsi="Arial"/>
          <w:color w:val="444444"/>
          <w:sz w:val="20"/>
          <w:szCs w:val="20"/>
          <w:rtl w:val="0"/>
        </w:rPr>
        <w:t xml:space="preserve"> Raising the senior/disabled exemption to $100,000 and lowering the age to 60; passed the Senate 44–0 and died in House Ways and Means — the only broad exemption increase ever to pass a chamber.</w:t>
      </w:r>
    </w:p>
    <w:p>
      <w:pPr>
        <w:widowControl/>
        <w:spacing w:after="49" w:line="276" w:lineRule="auto"/>
        <w:rPr/>
      </w:pPr>
      <w:r>
        <w:rPr>
          <w:rFonts w:ascii="Arial" w:cs="Arial" w:eastAsia="Arial" w:hAnsi="Arial"/>
          <w:b w:val="1"/>
          <w:bCs w:val="1"/>
          <w:color w:val="1a2d4f"/>
          <w:sz w:val="20"/>
          <w:szCs w:val="20"/>
          <w:rtl w:val="0"/>
        </w:rPr>
        <w:t xml:space="preserve">The House income tax cut — H4880 (2022).</w:t>
      </w:r>
      <w:r>
        <w:rPr>
          <w:rFonts w:ascii="Arial" w:cs="Arial" w:eastAsia="Arial" w:hAnsi="Arial"/>
          <w:color w:val="444444"/>
          <w:sz w:val="20"/>
          <w:szCs w:val="20"/>
          <w:rtl w:val="0"/>
        </w:rPr>
        <w:t xml:space="preserve"> Passed the House 112–0 and died in Senate Finance as the Senate's version became the law (S1087, Act 228 of 2022, 110–0 and 39–0).</w:t>
      </w:r>
    </w:p>
    <w:p>
      <w:pPr>
        <w:widowControl/>
        <w:spacing w:after="49" w:line="276" w:lineRule="auto"/>
        <w:rPr/>
      </w:pPr>
      <w:r>
        <w:rPr>
          <w:rFonts w:ascii="Arial" w:cs="Arial" w:eastAsia="Arial" w:hAnsi="Arial"/>
          <w:b w:val="1"/>
          <w:bCs w:val="1"/>
          <w:color w:val="1a2d4f"/>
          <w:sz w:val="20"/>
          <w:szCs w:val="20"/>
          <w:rtl w:val="0"/>
        </w:rPr>
        <w:t xml:space="preserve">Santee Cooper joint ownership — S12 (2025).</w:t>
      </w:r>
      <w:r>
        <w:rPr>
          <w:rFonts w:ascii="Arial" w:cs="Arial" w:eastAsia="Arial" w:hAnsi="Arial"/>
          <w:color w:val="444444"/>
          <w:sz w:val="20"/>
          <w:szCs w:val="20"/>
          <w:rtl w:val="0"/>
        </w:rPr>
        <w:t xml:space="preserve"> Letting the state utility co-own plants and lines with private utilities — the vehicle discussed for restarting the V.C. Summer site; passed second reading 25–18, the record's closest utility floor vote, then was recommitted to Senate Judiciary and never revived.</w:t>
      </w:r>
    </w:p>
    <w:p>
      <w:pPr>
        <w:widowControl/>
        <w:spacing w:after="49" w:line="276" w:lineRule="auto"/>
        <w:rPr/>
      </w:pPr>
      <w:r>
        <w:rPr>
          <w:rFonts w:ascii="Arial" w:cs="Arial" w:eastAsia="Arial" w:hAnsi="Arial"/>
          <w:b w:val="1"/>
          <w:bCs w:val="1"/>
          <w:color w:val="1a2d4f"/>
          <w:sz w:val="20"/>
          <w:szCs w:val="20"/>
          <w:rtl w:val="0"/>
        </w:rPr>
        <w:t xml:space="preserve">The insurance bills — H4817 (2026) and H5066 (2024).</w:t>
      </w:r>
      <w:r>
        <w:rPr>
          <w:rFonts w:ascii="Arial" w:cs="Arial" w:eastAsia="Arial" w:hAnsi="Arial"/>
          <w:color w:val="444444"/>
          <w:sz w:val="20"/>
          <w:szCs w:val="20"/>
          <w:rtl w:val="0"/>
        </w:rPr>
        <w:t xml:space="preserve"> The Insurance Rate Reduction and Policyholder Protection Act passed the House 96–17; the state liquor-liability option passed the House 106–2; both died in Senate Banking and Insurance. </w:t>
      </w:r>
      <w:r>
        <w:rPr>
          <w:rFonts w:ascii="Arial" w:cs="Arial" w:eastAsia="Arial" w:hAnsi="Arial"/>
          <w:b w:val="1"/>
          <w:bCs w:val="1"/>
          <w:color w:val="1a2d4f"/>
          <w:sz w:val="20"/>
          <w:szCs w:val="20"/>
          <w:rtl w:val="0"/>
        </w:rPr>
        <w:t xml:space="preserve">The domestic-violence lease release — H4158 (2024)</w:t>
      </w:r>
      <w:r>
        <w:rPr>
          <w:rFonts w:ascii="Arial" w:cs="Arial" w:eastAsia="Arial" w:hAnsi="Arial"/>
          <w:color w:val="444444"/>
          <w:sz w:val="20"/>
          <w:szCs w:val="20"/>
          <w:rtl w:val="0"/>
        </w:rPr>
        <w:t xml:space="preserve"> passed the House 98–10 and died in Senate Judiciary; its successor became law two years later (H3569, Act 184 of 2026, 108–0 and 42–4).</w:t>
      </w:r>
    </w:p>
    <w:p>
      <w:pPr>
        <w:keepNext/>
        <w:spacing w:before="84" w:after="36" w:line="276" w:lineRule="auto"/>
        <w:rPr/>
      </w:pPr>
      <w:r>
        <w:rPr>
          <w:rFonts w:ascii="Arial" w:cs="Arial" w:eastAsia="Arial" w:hAnsi="Arial"/>
          <w:b w:val="1"/>
          <w:bCs w:val="1"/>
          <w:color w:val="c0392b"/>
          <w:sz w:val="25"/>
          <w:szCs w:val="25"/>
          <w:rtl w:val="0"/>
        </w:rPr>
        <w:t xml:space="preserve">ALREADY LAW — AND THE OPENINGS AROUND IT</w:t>
      </w:r>
    </w:p>
    <w:p>
      <w:pPr>
        <w:keepNext/>
        <w:spacing w:after="36" w:line="276" w:lineRule="auto"/>
        <w:rPr/>
      </w:pPr>
      <w:r>
        <w:rPr>
          <w:rFonts w:ascii="Arial" w:cs="Arial" w:eastAsia="Arial" w:hAnsi="Arial"/>
          <w:i w:val="1"/>
          <w:iCs w:val="1"/>
          <w:color w:val="666666"/>
          <w:sz w:val="20"/>
          <w:szCs w:val="20"/>
          <w:rtl w:val="0"/>
        </w:rPr>
        <w:t xml:space="preserve">New law settles some ground — and shows where the General Assembly keeps building.</w:t>
      </w:r>
    </w:p>
    <w:p>
      <w:pPr>
        <w:keepNext/>
        <w:spacing w:before="70" w:after="30" w:line="276" w:lineRule="auto"/>
        <w:rPr/>
      </w:pPr>
      <w:r>
        <w:rPr>
          <w:rFonts w:ascii="Arial" w:cs="Arial" w:eastAsia="Arial" w:hAnsi="Arial"/>
          <w:b w:val="1"/>
          <w:bCs w:val="1"/>
          <w:color w:val="2e4a78"/>
          <w:sz w:val="24"/>
          <w:szCs w:val="24"/>
          <w:rtl w:val="0"/>
        </w:rPr>
        <w:t xml:space="preserve">New laws, 2019–2026</w:t>
      </w:r>
    </w:p>
    <w:p>
      <w:pPr>
        <w:widowControl/>
        <w:spacing w:after="49" w:line="276" w:lineRule="auto"/>
        <w:rPr/>
      </w:pPr>
      <w:r>
        <w:rPr>
          <w:rFonts w:ascii="Arial" w:cs="Arial" w:eastAsia="Arial" w:hAnsi="Arial"/>
          <w:color w:val="444444"/>
          <w:sz w:val="20"/>
          <w:szCs w:val="20"/>
          <w:rtl w:val="0"/>
        </w:rPr>
        <w:t xml:space="preserve">The oversight wave led. After the V.C. Summer collapse: the sale-or-reform evaluation (H4287, Act 95 of 2019), the Energy Freedom Act's solar-contract review and electric-customer rights (H3659, Act 62 of 2019, 110–0 and 46–0), the market-reform study committee (H4940, Act 187 of 2020, 81–31 and 41–0), the PSC screening extension (S996, Act 181 of 2020), the Santee Cooper reform putting its rates under PSC review for the first time (H3194, Act 90 of 2021, 89–26 and 44–1), the restarted PSC elections (S271 and H4402, Acts 74 and 75 of 2025), the V.C. Summer completion-proposals resolution (S51, Act 73 of 2025, 43–0 and 111–0), and the Energy Security Act's public-witness rights in rate cases (H3309, Act 41 of 2025). The tax fixes were targeted and near-unanimous: the shutdown penalty delay (H3630, Act 96 of 2019), installment payments (H3482, Act 69 of 2021), surviving spouses and heirs' property (S233, Act 236 of 2022, 40–0 and 107–4), disabled veterans' immediate exemption (H3116, Act 116 of 2024, 111–0 and 45–0), estate continuity for a home's 4% rate (H3841, Act 140 of 2026, 107–0 and 43–0), a higher manufacturing-exemption reimbursement cap (S439, Act 122 of 2026), and the Municipal Tax Relief Act — cities swapping a voter-approved sales tax for home property tax credits (S866, Act 228 of 2026, 32–9 and 96–16), the swap counties have had since the early 1990s under the Local Option Sales Tax. The income tax cuts came as packages: the top rate set to fall to 6% (S1087, Act 228 of 2022) and the 2026 restructuring to a 5.21% top rate with a new 1.99% bracket (H4216, Act 110 of 2026, 64–47 and 39–5 — the closest enacted margins here). Housing moved through financing tools: the state housing tax credit (H3998, Act 137 of 2020), its cap-and-tighten revision (H5075, Act 202 of 2022), the stalled-project rescue (S739, Act 88 of 2023), and tourism taxes for workforce housing (S284, Act 57 of 2023). Childcare's three acts are all regulation: background checks (S595, Act 52 of 2019), First Steps governance (H4023, Act 81 of 2023), caregiver training (S862, Act 216 of 2024). Insurance added private flood coverage (S882, Act 166 of 2020) and electronic policy delivery (H3977, Act 108 of 2024).</w:t>
      </w:r>
    </w:p>
    <w:p>
      <w:pPr>
        <w:keepNext/>
        <w:spacing w:before="70" w:after="30" w:line="276" w:lineRule="auto"/>
        <w:rPr/>
      </w:pPr>
      <w:r>
        <w:rPr>
          <w:rFonts w:ascii="Arial" w:cs="Arial" w:eastAsia="Arial" w:hAnsi="Arial"/>
          <w:b w:val="1"/>
          <w:bCs w:val="1"/>
          <w:color w:val="2e4a78"/>
          <w:sz w:val="24"/>
          <w:szCs w:val="24"/>
          <w:rtl w:val="0"/>
        </w:rPr>
        <w:t xml:space="preserve">Where lawmakers appear willing to go further</w:t>
      </w:r>
    </w:p>
    <w:p>
      <w:pPr>
        <w:widowControl/>
        <w:spacing w:after="49" w:line="276" w:lineRule="auto"/>
        <w:rPr/>
      </w:pPr>
      <w:r>
        <w:rPr>
          <w:rFonts w:ascii="Arial" w:cs="Arial" w:eastAsia="Arial" w:hAnsi="Arial"/>
          <w:color w:val="444444"/>
          <w:sz w:val="20"/>
          <w:szCs w:val="20"/>
          <w:rtl w:val="0"/>
        </w:rPr>
        <w:t xml:space="preserve">The utility-oversight lane keeps extending — each law built on the last, from the 2019 evaluation to PSC rate review (2021) to restarted elections and public-witness rights (2025) — and the House keeps passing the accountability piece by combined margins of 438–1. Rate-case machinery keeps returning: the Electric Rate Stabilization Act got a favorable Senate committee report before being recommitted (S446, 2025-26), and the Natural Gas Rate Stabilization rewrite has been refiled every session. Property tax relief has moved into the budget — the extra $25,000 homestead exemption and the accelerated rate cuts are one-year provisos a future session could make permanent or drop. And childcare-assistance filings are accelerating in the tax code — the venue where this record's cost relief actually passes.</w:t>
      </w:r>
    </w:p>
    <w:p>
      <w:pPr>
        <w:keepNext/>
        <w:spacing w:before="84" w:after="36" w:line="276" w:lineRule="auto"/>
        <w:rPr/>
      </w:pPr>
      <w:r>
        <w:rPr>
          <w:rFonts w:ascii="Arial" w:cs="Arial" w:eastAsia="Arial" w:hAnsi="Arial"/>
          <w:b w:val="1"/>
          <w:bCs w:val="1"/>
          <w:color w:val="c0392b"/>
          <w:sz w:val="25"/>
          <w:szCs w:val="25"/>
          <w:rtl w:val="0"/>
        </w:rPr>
        <w:t xml:space="preserve">LITTLE TRACTION YET: STOPPED EARLY</w:t>
      </w:r>
    </w:p>
    <w:p>
      <w:pPr>
        <w:keepNext/>
        <w:spacing w:after="36" w:line="276" w:lineRule="auto"/>
        <w:rPr/>
      </w:pPr>
      <w:r>
        <w:rPr>
          <w:rFonts w:ascii="Arial" w:cs="Arial" w:eastAsia="Arial" w:hAnsi="Arial"/>
          <w:i w:val="1"/>
          <w:iCs w:val="1"/>
          <w:color w:val="666666"/>
          <w:sz w:val="20"/>
          <w:szCs w:val="20"/>
          <w:rtl w:val="0"/>
        </w:rPr>
        <w:t xml:space="preserve">Measured against the grid's proposals: one is already policy, one is half-done, one passes only in narrow forms, and one has never had a vote.</w:t>
      </w:r>
    </w:p>
    <w:p>
      <w:pPr>
        <w:widowControl/>
        <w:spacing w:after="49" w:line="276" w:lineRule="auto"/>
        <w:rPr/>
      </w:pPr>
      <w:r>
        <w:rPr>
          <w:rFonts w:ascii="Arial" w:cs="Arial" w:eastAsia="Arial" w:hAnsi="Arial"/>
          <w:b w:val="1"/>
          <w:bCs w:val="1"/>
          <w:color w:val="1a2d4f"/>
          <w:sz w:val="20"/>
          <w:szCs w:val="20"/>
          <w:rtl w:val="0"/>
        </w:rPr>
        <w:t xml:space="preserve">Opening the electricity market.</w:t>
      </w:r>
      <w:r>
        <w:rPr>
          <w:rFonts w:ascii="Arial" w:cs="Arial" w:eastAsia="Arial" w:hAnsi="Arial"/>
          <w:color w:val="444444"/>
          <w:sz w:val="20"/>
          <w:szCs w:val="20"/>
          <w:rtl w:val="0"/>
        </w:rPr>
        <w:t xml:space="preserve"> The state formally studied it — Act 187 of 2020 created the Electricity Market Reform Measures Study Committee with an independent expert consultant, on the most contested vote of any enacted bill here (House 81–31) — but every bill that would actually let customers choose a supplier arrived in 2026 and died in its first committee without a vote: retail choice for households and small businesses (H5439), third-party suppliers over the incumbent's wires (H5440, S878), and PSC oversight of the co-ops' wholesale power contracts (H5525). Earlier edges went the same way: territory choice for businesses (H3344, 2019) and forcing Santee Cooper into a regional grid operator (S439, 2021). A straight repeal of exclusive service territories has never been filed.</w:t>
      </w:r>
    </w:p>
    <w:p>
      <w:pPr>
        <w:widowControl/>
        <w:spacing w:after="49" w:line="276" w:lineRule="auto"/>
        <w:rPr/>
      </w:pPr>
      <w:r>
        <w:rPr>
          <w:rFonts w:ascii="Arial" w:cs="Arial" w:eastAsia="Arial" w:hAnsi="Arial"/>
          <w:b w:val="1"/>
          <w:bCs w:val="1"/>
          <w:color w:val="1a2d4f"/>
          <w:sz w:val="20"/>
          <w:szCs w:val="20"/>
          <w:rtl w:val="0"/>
        </w:rPr>
        <w:t xml:space="preserve">Cutting property and vehicle taxes broadly.</w:t>
      </w:r>
      <w:r>
        <w:rPr>
          <w:rFonts w:ascii="Arial" w:cs="Arial" w:eastAsia="Arial" w:hAnsi="Arial"/>
          <w:color w:val="444444"/>
          <w:sz w:val="20"/>
          <w:szCs w:val="20"/>
          <w:rtl w:val="0"/>
        </w:rPr>
        <w:t xml:space="preserve"> Full elimination was filed once — H3378 (2025), every property tax, with dollar-for-dollar state repayment to local governments — and died in House Ways and Means, where 45 of the 67 home-property-tax bills stopped. Thirty-five bills raising the $50,000 homestead exemption or exempting seniors' homes entirely died without votes (S768's Senate 44–0 is the lone exception, and it died in the same room). Thirteen vehicle and boat tax bills produced zero recorded votes — the broadest (H5014, 2026) would have exempted one car for seniors — and no bill proposes ending the vehicle property tax statewide. One route already exists, though, and it belongs to counties: since 2000, state law (§4-10-510) has let a county, with voters' approval, end property taxes on cars and boats and replace the money with a local sales tax — the budget backstops that swap every year (proviso 117.37). Whether any county has used it is a county decision outside this bill record.</w:t>
      </w:r>
    </w:p>
    <w:p>
      <w:pPr>
        <w:widowControl/>
        <w:spacing w:after="49" w:line="276" w:lineRule="auto"/>
        <w:rPr/>
      </w:pPr>
      <w:r>
        <w:rPr>
          <w:rFonts w:ascii="Arial" w:cs="Arial" w:eastAsia="Arial" w:hAnsi="Arial"/>
          <w:b w:val="1"/>
          <w:bCs w:val="1"/>
          <w:color w:val="1a2d4f"/>
          <w:sz w:val="20"/>
          <w:szCs w:val="20"/>
          <w:rtl w:val="0"/>
        </w:rPr>
        <w:t xml:space="preserve">Utility billing protections.</w:t>
      </w:r>
      <w:r>
        <w:rPr>
          <w:rFonts w:ascii="Arial" w:cs="Arial" w:eastAsia="Arial" w:hAnsi="Arial"/>
          <w:color w:val="444444"/>
          <w:sz w:val="20"/>
          <w:szCs w:val="20"/>
          <w:rtl w:val="0"/>
        </w:rPr>
        <w:t xml:space="preserve"> Nineteen consumer-billing bills over four sessions — payment-fee bans, shutoff limits in dangerous weather, balance-transfer bans, senior surcharge exemptions, customer-data privacy, data-center cost walls — and not one received a recorded vote at any stage.</w:t>
      </w:r>
    </w:p>
    <w:p>
      <w:pPr>
        <w:widowControl/>
        <w:spacing w:after="49" w:line="276" w:lineRule="auto"/>
        <w:rPr/>
      </w:pPr>
      <w:r>
        <w:rPr>
          <w:rFonts w:ascii="Arial" w:cs="Arial" w:eastAsia="Arial" w:hAnsi="Arial"/>
          <w:b w:val="1"/>
          <w:bCs w:val="1"/>
          <w:color w:val="1a2d4f"/>
          <w:sz w:val="20"/>
          <w:szCs w:val="20"/>
          <w:rtl w:val="0"/>
        </w:rPr>
        <w:t xml:space="preserve">The financial-ties disclosure piece.</w:t>
      </w:r>
      <w:r>
        <w:rPr>
          <w:rFonts w:ascii="Arial" w:cs="Arial" w:eastAsia="Arial" w:hAnsi="Arial"/>
          <w:color w:val="444444"/>
          <w:sz w:val="20"/>
          <w:szCs w:val="20"/>
          <w:rtl w:val="0"/>
        </w:rPr>
        <w:t xml:space="preserve"> Legislators already file annual Statements of Economic Interests under the ethics law, but those forms are not utility-specific, and no bill from 2019–2026 adds a utility-specific disclosure duty for legislators. Every filed approach regulated the utilities' side — H4260's gift and contribution bans — and that is the piece that passes the House and dies in Senate Judiciary.</w:t>
      </w:r>
    </w:p>
    <w:p>
      <w:pPr>
        <w:keepNext/>
        <w:spacing w:before="84" w:after="36" w:line="276" w:lineRule="auto"/>
        <w:rPr/>
      </w:pPr>
      <w:r>
        <w:rPr>
          <w:rFonts w:ascii="Arial" w:cs="Arial" w:eastAsia="Arial" w:hAnsi="Arial"/>
          <w:b w:val="1"/>
          <w:bCs w:val="1"/>
          <w:color w:val="c0392b"/>
          <w:sz w:val="25"/>
          <w:szCs w:val="25"/>
          <w:rtl w:val="0"/>
        </w:rPr>
        <w:t xml:space="preserve">A TOPIC IN THE ROOM: CHILD CARE ASSISTANCE</w:t>
      </w:r>
    </w:p>
    <w:p>
      <w:pPr>
        <w:keepNext/>
        <w:spacing w:after="36" w:line="276" w:lineRule="auto"/>
        <w:rPr/>
      </w:pPr>
      <w:r>
        <w:rPr>
          <w:rFonts w:ascii="Arial" w:cs="Arial" w:eastAsia="Arial" w:hAnsi="Arial"/>
          <w:i w:val="1"/>
          <w:iCs w:val="1"/>
          <w:color w:val="666666"/>
          <w:sz w:val="20"/>
          <w:szCs w:val="20"/>
          <w:rtl w:val="0"/>
        </w:rPr>
        <w:t xml:space="preserve">Raised in reported discussions with sitting legislators — not a Phase 2 proposal; the record was scanned on request.</w:t>
      </w:r>
    </w:p>
    <w:p>
      <w:pPr>
        <w:widowControl/>
        <w:spacing w:after="49" w:line="276" w:lineRule="auto"/>
        <w:rPr/>
      </w:pPr>
      <w:r>
        <w:rPr>
          <w:rFonts w:ascii="Arial" w:cs="Arial" w:eastAsia="Arial" w:hAnsi="Arial"/>
          <w:b w:val="1"/>
          <w:bCs w:val="1"/>
          <w:color w:val="1a2d4f"/>
          <w:sz w:val="20"/>
          <w:szCs w:val="20"/>
          <w:rtl w:val="0"/>
        </w:rPr>
        <w:t xml:space="preserve">What passes in childcare is regulation, never assistance.</w:t>
      </w:r>
      <w:r>
        <w:rPr>
          <w:rFonts w:ascii="Arial" w:cs="Arial" w:eastAsia="Arial" w:hAnsi="Arial"/>
          <w:color w:val="444444"/>
          <w:sz w:val="20"/>
          <w:szCs w:val="20"/>
          <w:rtl w:val="0"/>
        </w:rPr>
        <w:t xml:space="preserve"> Three acts in eight years — background checks, First Steps governance, caregiver training — and S946's unanimous double passage died in conference. Every assistance design died in a money committee without a vote: childcare stipends for unemployed parents (H4394, 2025), a bigger employer childcare credit plus a pay-supplement credit for childcare workers (S47/H4015, 2025), a refundable child-and-dependent-care credit (H5794, filed August 2026 — the newest bill in this set), the Childcare Advance deferral (H4993, 2024), and pre-K expansion grants (H5205, 2024). One bill runs the other direction: S770 (2026) would add work requirements to federally funded assistance. What distinguishes this lane from the zero-movement ones: filings are accelerating, every design extends the two childcare tax credits already in statute, and S946 shows childcare bills pass unanimously when they reach a floor. Never filed: a direct-payment state subsidy outside the tax code — today's assistance is federal voucher money run through DSS under one-year budget provisos.</w:t>
      </w:r>
    </w:p>
    <w:p>
      <w:pPr>
        <w:keepNext/>
        <w:spacing w:before="84" w:after="36" w:line="276" w:lineRule="auto"/>
        <w:rPr/>
      </w:pPr>
      <w:r>
        <w:rPr>
          <w:rFonts w:ascii="Arial" w:cs="Arial" w:eastAsia="Arial" w:hAnsi="Arial"/>
          <w:b w:val="1"/>
          <w:bCs w:val="1"/>
          <w:color w:val="c0392b"/>
          <w:sz w:val="25"/>
          <w:szCs w:val="25"/>
          <w:rtl w:val="0"/>
        </w:rPr>
        <w:t xml:space="preserve">WHERE THERE IS MOVEMENT — AND WHERE THERE IS NONE</w:t>
      </w:r>
    </w:p>
    <w:p>
      <w:pPr>
        <w:widowControl/>
        <w:spacing w:after="49" w:line="276" w:lineRule="auto"/>
        <w:rPr/>
      </w:pPr>
      <w:r>
        <w:rPr>
          <w:rFonts w:ascii="Arial" w:cs="Arial" w:eastAsia="Arial" w:hAnsi="Arial"/>
          <w:b w:val="1"/>
          <w:bCs w:val="1"/>
          <w:color w:val="1a2d4f"/>
          <w:sz w:val="20"/>
          <w:szCs w:val="20"/>
          <w:rtl w:val="0"/>
        </w:rPr>
        <w:t xml:space="preserve">Moving:</w:t>
      </w:r>
      <w:r>
        <w:rPr>
          <w:rFonts w:ascii="Arial" w:cs="Arial" w:eastAsia="Arial" w:hAnsi="Arial"/>
          <w:color w:val="444444"/>
          <w:sz w:val="20"/>
          <w:szCs w:val="20"/>
          <w:rtl w:val="0"/>
        </w:rPr>
        <w:t xml:space="preserve"> utility oversight as negotiated packages (the record's biggest enacting lane — the Santee Cooper and energy acts, PSC elections, public-witness rights); targeted property tax fixes (nine acts, all near-unanimous); income tax cuts when leadership carries them (two acts); housing financing tools (four acts); childcare regulation (three acts plus S946's double passage). </w:t>
      </w:r>
      <w:r>
        <w:rPr>
          <w:rFonts w:ascii="Arial" w:cs="Arial" w:eastAsia="Arial" w:hAnsi="Arial"/>
          <w:b w:val="1"/>
          <w:bCs w:val="1"/>
          <w:color w:val="1a2d4f"/>
          <w:sz w:val="20"/>
          <w:szCs w:val="20"/>
          <w:rtl w:val="0"/>
        </w:rPr>
        <w:t xml:space="preserve">Not moving:</w:t>
      </w:r>
      <w:r>
        <w:rPr>
          <w:rFonts w:ascii="Arial" w:cs="Arial" w:eastAsia="Arial" w:hAnsi="Arial"/>
          <w:color w:val="444444"/>
          <w:sz w:val="20"/>
          <w:szCs w:val="20"/>
          <w:rtl w:val="0"/>
        </w:rPr>
        <w:t xml:space="preserve"> market competition (one study, zero bill votes); utility billing protections (0 of 19, no vote ever taken); broad homestead increases (0 of 35, one chamber passage); vehicle tax relief (0 of 13, same); rent control and most tenant-cost rules; and the utility-accountability bills, which pass the House and stop in one Senate committee.</w:t>
      </w:r>
    </w:p>
    <w:p>
      <w:pPr>
        <w:widowControl/>
        <w:spacing w:after="49" w:line="276" w:lineRule="auto"/>
        <w:rPr/>
      </w:pPr>
      <w:r>
        <w:rPr>
          <w:rFonts w:ascii="Arial" w:cs="Arial" w:eastAsia="Arial" w:hAnsi="Arial"/>
          <w:b w:val="1"/>
          <w:bCs w:val="1"/>
          <w:color w:val="1a2d4f"/>
          <w:sz w:val="20"/>
          <w:szCs w:val="20"/>
          <w:rtl w:val="0"/>
        </w:rPr>
        <w:t xml:space="preserve">Where bills stop, and who sponsors them.</w:t>
      </w:r>
      <w:r>
        <w:rPr>
          <w:rFonts w:ascii="Arial" w:cs="Arial" w:eastAsia="Arial" w:hAnsi="Arial"/>
          <w:color w:val="444444"/>
          <w:sz w:val="20"/>
          <w:szCs w:val="20"/>
          <w:rtl w:val="0"/>
        </w:rPr>
        <w:t xml:space="preserve"> Four rooms are this record's great filter: utility bills go to House Labor, Commerce and Industry and Senate Judiciary — in South Carolina, utility law belongs to the Judiciary Committee — and tax bills, including every childcare-assistance design, go to House Ways and Means and Senate Finance. Of 257 bills, 201 died in their first committee, and South Carolina publishes committee outcomes but never committee vote tallies, so no count exists for any of these stops. One venue note: property and vehicle taxes are county taxes collected under state rules, and several relief tools are county-option laws decided by county voters — so the state bill record alone does not show what counties have done. Party labels are deliberately absent throughout this packet — attaching them requires a ballot-roster join that was not fetched — so this brief makes no party claims. Rep. King led fourteen bills (utility billing protections, senior exemptions), all stopped in first committee; Rep. Ott carried the whistleblower bills the House passed 118–0 and 114–0; Rep. Burns led the elimination and big-exemption bills; and the enacted packages were carried by chamber leaders — Speaker Lucas (Santee Cooper reform), Rep. G.M. Smith (the energy bills), Sen. Peeler (the 2022 tax cut and S768).</w:t>
      </w:r>
    </w:p>
    <w:p>
      <w:pPr>
        <w:keepNext/>
        <w:spacing w:before="84" w:after="36" w:line="276" w:lineRule="auto"/>
        <w:rPr/>
      </w:pPr>
      <w:r>
        <w:rPr>
          <w:rFonts w:ascii="Arial" w:cs="Arial" w:eastAsia="Arial" w:hAnsi="Arial"/>
          <w:b w:val="1"/>
          <w:bCs w:val="1"/>
          <w:color w:val="c0392b"/>
          <w:sz w:val="25"/>
          <w:szCs w:val="25"/>
          <w:rtl w:val="0"/>
        </w:rPr>
        <w:t xml:space="preserve">FEDERAL OVERLAP: WHAT WASHINGTON ALREADY COVERS</w:t>
      </w:r>
    </w:p>
    <w:p>
      <w:pPr>
        <w:keepNext/>
        <w:spacing w:after="36" w:line="276" w:lineRule="auto"/>
        <w:rPr/>
      </w:pPr>
      <w:r>
        <w:rPr>
          <w:rFonts w:ascii="Arial" w:cs="Arial" w:eastAsia="Arial" w:hAnsi="Arial"/>
          <w:i w:val="1"/>
          <w:iCs w:val="1"/>
          <w:color w:val="666666"/>
          <w:sz w:val="20"/>
          <w:szCs w:val="20"/>
          <w:rtl w:val="0"/>
        </w:rPr>
        <w:t xml:space="preserve">Where federal action already covers ground — and where the state route is the only one.</w:t>
      </w:r>
    </w:p>
    <w:p>
      <w:pPr>
        <w:widowControl/>
        <w:spacing w:after="49" w:line="276" w:lineRule="auto"/>
        <w:rPr/>
      </w:pPr>
      <w:r>
        <w:rPr>
          <w:rFonts w:ascii="Arial" w:cs="Arial" w:eastAsia="Arial" w:hAnsi="Arial"/>
          <w:color w:val="444444"/>
          <w:sz w:val="20"/>
          <w:szCs w:val="20"/>
          <w:rtl w:val="0"/>
        </w:rPr>
        <w:t xml:space="preserve">Electricity splits down the middle: retail rates, service territories, and who may sell to customers are state ground (the PSC and Title 58 — why the retail-choice bills are state bills), while wholesale markets and interstate transmission are federal (FERC) — the layer the co-op wholesale-access and regional-grid bills work through — and nuclear licensing at V.C. Summer is the NRC's. The big federal energy programs run through the state Energy Office under a budget proviso. Childcare assistance today is federal money — the voucher program through DSS — while the two childcare tax credits the filed bills would extend are state code. Flood insurance is federally dominated; Act 166 of 2020 opened the state market to private alternatives, and the state housing tax credit matches the federal one. What has no federal layer at all is most of this brief: property and vehicle taxes, the homestead exemption, the sales-tax swaps, the income tax rates, utility-regulator ethics rules, and the personal-finance graduation requirement are state and local ground alone.</w:t>
      </w:r>
    </w:p>
    <w:p>
      <w:pPr>
        <w:pBdr>
          <w:top w:color="c8cdd6" w:space="4" w:sz="6" w:val="single"/>
        </w:pBdr>
        <w:spacing w:before="40" w:after="0" w:line="276" w:lineRule="auto"/>
        <w:rPr/>
      </w:pPr>
      <w:r>
        <w:rPr>
          <w:rFonts w:ascii="Arial" w:cs="Arial" w:eastAsia="Arial" w:hAnsi="Arial"/>
          <w:color w:val="666666"/>
          <w:sz w:val="20"/>
          <w:szCs w:val="20"/>
          <w:rtl w:val="0"/>
        </w:rPr>
        <w:t xml:space="preserve">Full bill-by-bill detail, votes, sponsors, budget provisos, and sources: Appendices A–I.</w:t>
      </w:r>
    </w:p>
    <w:p>
      <w:pPr>
        <w:pBdr>
          <w:bottom w:color="1a2d4f" w:space="2" w:sz="20" w:val="single"/>
        </w:pBdr>
        <w:spacing w:after="120" w:line="276" w:lineRule="auto"/>
        <w:rPr/>
      </w:pPr>
    </w:p>
    <w:p>
      <w:pPr>
        <w:pBdr>
          <w:bottom w:color="1a2d4f" w:space="2" w:sz="20" w:val="single"/>
        </w:pBdr>
        <w:spacing w:after="120" w:line="276" w:lineRule="auto"/>
        <w:rPr/>
      </w:pPr>
    </w:p>
    <w:p>
      <w:pPr>
        <w:keepNext/>
        <w:spacing w:after="40" w:line="252" w:lineRule="auto"/>
        <w:rPr/>
      </w:pPr>
      <w:r>
        <w:rPr>
          <w:rFonts w:ascii="Arial" w:cs="Arial" w:eastAsia="Arial" w:hAnsi="Arial"/>
          <w:b w:val="1"/>
          <w:bCs w:val="1"/>
          <w:color w:val="1a2d4f"/>
          <w:sz w:val="36"/>
          <w:szCs w:val="36"/>
          <w:rtl w:val="0"/>
        </w:rPr>
        <w:t xml:space="preserve">Policy Spotlights</w:t>
      </w:r>
    </w:p>
    <w:p>
      <w:pPr>
        <w:keepNext/>
        <w:spacing w:after="120" w:line="254" w:lineRule="auto"/>
        <w:rPr/>
      </w:pPr>
      <w:r>
        <w:rPr>
          <w:rFonts w:ascii="Arial" w:cs="Arial" w:eastAsia="Arial" w:hAnsi="Arial"/>
          <w:color w:val="444444"/>
          <w:sz w:val="20"/>
          <w:szCs w:val="20"/>
          <w:rtl w:val="0"/>
        </w:rPr>
        <w:t xml:space="preserve">A focused, bill-by-bill look at how far each proposal from the final Community Conversations grid has traveled. Each policy is sorted into the same viability groups the brief uses, so the brief's top section shows what is viable overall and these spotlights show how viable one policy may be. The frequency, consensus, and concerns under each heading are what participants and the feedback grid reported; everything else is the legislative record. A closing spotlight covers child care assistance, a legislator-discussion topic outside the grid.</w:t>
      </w:r>
    </w:p>
    <w:p>
      <w:pPr>
        <w:keepNext/>
        <w:spacing w:before="84" w:after="36" w:line="254" w:lineRule="auto"/>
        <w:rPr/>
      </w:pPr>
      <w:r>
        <w:rPr>
          <w:rFonts w:ascii="Arial" w:cs="Arial" w:eastAsia="Arial" w:hAnsi="Arial"/>
          <w:b w:val="1"/>
          <w:bCs w:val="1"/>
          <w:color w:val="c0392b"/>
          <w:sz w:val="25"/>
          <w:szCs w:val="25"/>
          <w:rtl w:val="0"/>
        </w:rPr>
        <w:t xml:space="preserve">GREATER TRANSPARENCY INTO UTILITY RATES AND LEGISLATOR–UTILITY FINANCIAL TIES</w:t>
      </w:r>
    </w:p>
    <w:p>
      <w:pPr>
        <w:keepNext/>
        <w:spacing w:after="60"/>
        <w:rPr/>
      </w:pPr>
      <w:r>
        <w:rPr>
          <w:rFonts w:ascii="Arial" w:cs="Arial" w:eastAsia="Arial" w:hAnsi="Arial"/>
          <w:i w:val="1"/>
          <w:iCs w:val="1"/>
          <w:color w:val="666666"/>
          <w:sz w:val="20"/>
          <w:szCs w:val="20"/>
          <w:rtl w:val="0"/>
        </w:rPr>
        <w:t xml:space="preserve">Raised in two of four in-person events, with high consensus when discussed; the through-line was that consumers feel the utility company has all the power. The record: the oversight machinery is law; the accountability bills pass the House by a combined 438–1 and die in Senate Judiciary; no bill addresses legislator-side disclosure directly.</w:t>
      </w:r>
    </w:p>
    <w:p>
      <w:pPr>
        <w:keepNext/>
        <w:spacing w:before="70" w:after="30" w:line="250" w:lineRule="auto"/>
        <w:rPr/>
      </w:pPr>
      <w:r>
        <w:rPr>
          <w:rFonts w:ascii="Arial" w:cs="Arial" w:eastAsia="Arial" w:hAnsi="Arial"/>
          <w:b w:val="1"/>
          <w:bCs w:val="1"/>
          <w:color w:val="2e4a78"/>
          <w:sz w:val="24"/>
          <w:szCs w:val="24"/>
          <w:rtl w:val="0"/>
        </w:rPr>
        <w:t xml:space="preserve">Already law (oversight structure, not the money-ties ban)</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H3194 (Act 90 of 2021): </w:t>
      </w:r>
      <w:r>
        <w:rPr>
          <w:rFonts w:ascii="Arial" w:cs="Arial" w:eastAsia="Arial" w:hAnsi="Arial"/>
          <w:color w:val="444444"/>
          <w:sz w:val="20"/>
          <w:szCs w:val="20"/>
          <w:rtl w:val="0"/>
        </w:rPr>
        <w:t xml:space="preserve">rebuilt Santee Cooper's board and put its rates under Public Service Commission review for the first time; 89–26 and 44–1.</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S271 / H4402 (Acts 74 and 75 of 2025): </w:t>
      </w:r>
      <w:r>
        <w:rPr>
          <w:rFonts w:ascii="Arial" w:cs="Arial" w:eastAsia="Arial" w:hAnsi="Arial"/>
          <w:color w:val="444444"/>
          <w:sz w:val="20"/>
          <w:szCs w:val="20"/>
          <w:rtl w:val="0"/>
        </w:rPr>
        <w:t xml:space="preserve">restarted the PSC elections stalled while commissioners served expired terms; 40–0 / 110–0 and 44–0.</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H3309 (Act 41 of 2025): </w:t>
      </w:r>
      <w:r>
        <w:rPr>
          <w:rFonts w:ascii="Arial" w:cs="Arial" w:eastAsia="Arial" w:hAnsi="Arial"/>
          <w:color w:val="444444"/>
          <w:sz w:val="20"/>
          <w:szCs w:val="20"/>
          <w:rtl w:val="0"/>
        </w:rPr>
        <w:t xml:space="preserve">the Energy Security Act — customers may testify as public witnesses in rate cases, with schedules and deadlines; 94–11 and 38–3.</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S51 (Act 73 of 2025): </w:t>
      </w:r>
      <w:r>
        <w:rPr>
          <w:rFonts w:ascii="Arial" w:cs="Arial" w:eastAsia="Arial" w:hAnsi="Arial"/>
          <w:color w:val="444444"/>
          <w:sz w:val="20"/>
          <w:szCs w:val="20"/>
          <w:rtl w:val="0"/>
        </w:rPr>
        <w:t xml:space="preserve">proposals process for finishing the V.C. Summer reactors; 43–0 and 111–0. The PSC's Santee Cooper oversight is funded by proviso (72.3), not permanent law.</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S996 (Act 181 of 2020): </w:t>
      </w:r>
      <w:r>
        <w:rPr>
          <w:rFonts w:ascii="Arial" w:cs="Arial" w:eastAsia="Arial" w:hAnsi="Arial"/>
          <w:color w:val="444444"/>
          <w:sz w:val="20"/>
          <w:szCs w:val="20"/>
          <w:rtl w:val="0"/>
        </w:rPr>
        <w:t xml:space="preserve">reopened PSC candidate screening for four seats; 37–0 and 78–32.</w:t>
      </w:r>
    </w:p>
    <w:p>
      <w:pPr>
        <w:keepNext/>
        <w:spacing w:before="70" w:after="30" w:line="250" w:lineRule="auto"/>
        <w:rPr/>
      </w:pPr>
      <w:r>
        <w:rPr>
          <w:rFonts w:ascii="Arial" w:cs="Arial" w:eastAsia="Arial" w:hAnsi="Arial"/>
          <w:b w:val="1"/>
          <w:bCs w:val="1"/>
          <w:color w:val="2e4a78"/>
          <w:sz w:val="24"/>
          <w:szCs w:val="24"/>
          <w:rtl w:val="0"/>
        </w:rPr>
        <w:t xml:space="preserve">Proven support (passed the House; died in Senate Judiciary without a vote)</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H4260 (2019): </w:t>
      </w:r>
      <w:r>
        <w:rPr>
          <w:rFonts w:ascii="Arial" w:cs="Arial" w:eastAsia="Arial" w:hAnsi="Arial"/>
          <w:color w:val="444444"/>
          <w:sz w:val="20"/>
          <w:szCs w:val="20"/>
          <w:rtl w:val="0"/>
        </w:rPr>
        <w:t xml:space="preserve">the Ratepayer Protection Act — no utility campaign contributions, meals, or anything of value to the legislators' panel that screens PSC candidates; whistleblower protections; regulator conflict-of-interest rules. House 105–1.</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H4776 (2019): </w:t>
      </w:r>
      <w:r>
        <w:rPr>
          <w:rFonts w:ascii="Arial" w:cs="Arial" w:eastAsia="Arial" w:hAnsi="Arial"/>
          <w:color w:val="444444"/>
          <w:sz w:val="20"/>
          <w:szCs w:val="20"/>
          <w:rtl w:val="0"/>
        </w:rPr>
        <w:t xml:space="preserve">ban on former PSC members working for utilities stretched from one year to three. House 101–0.</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H4149 (2022) / H3614 (2023): </w:t>
      </w:r>
      <w:r>
        <w:rPr>
          <w:rFonts w:ascii="Arial" w:cs="Arial" w:eastAsia="Arial" w:hAnsi="Arial"/>
          <w:color w:val="444444"/>
          <w:sz w:val="20"/>
          <w:szCs w:val="20"/>
          <w:rtl w:val="0"/>
        </w:rPr>
        <w:t xml:space="preserve">the whistleblower protections refiled alone. House 118–0 and 114–0.</w:t>
      </w:r>
    </w:p>
    <w:p>
      <w:pPr>
        <w:keepNext/>
        <w:spacing w:before="70" w:after="30" w:line="250" w:lineRule="auto"/>
        <w:rPr/>
      </w:pPr>
      <w:r>
        <w:rPr>
          <w:rFonts w:ascii="Arial" w:cs="Arial" w:eastAsia="Arial" w:hAnsi="Arial"/>
          <w:b w:val="1"/>
          <w:bCs w:val="1"/>
          <w:color w:val="2e4a78"/>
          <w:sz w:val="24"/>
          <w:szCs w:val="24"/>
          <w:rtl w:val="0"/>
        </w:rPr>
        <w:t xml:space="preserve">Stopped early (died in first committee, no recorded vote)</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PSC restructuring: </w:t>
      </w:r>
      <w:r>
        <w:rPr>
          <w:rFonts w:ascii="Arial" w:cs="Arial" w:eastAsia="Arial" w:hAnsi="Arial"/>
          <w:color w:val="444444"/>
          <w:sz w:val="20"/>
          <w:szCs w:val="20"/>
          <w:rtl w:val="0"/>
        </w:rPr>
        <w:t xml:space="preserve">S779, S909 (2024) — shrink the commission to five seats; published reasons for decisions on a deadline.</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Screening and conduct rules: </w:t>
      </w:r>
      <w:r>
        <w:rPr>
          <w:rFonts w:ascii="Arial" w:cs="Arial" w:eastAsia="Arial" w:hAnsi="Arial"/>
          <w:color w:val="444444"/>
          <w:sz w:val="20"/>
          <w:szCs w:val="20"/>
          <w:rtl w:val="0"/>
        </w:rPr>
        <w:t xml:space="preserve">H3641, H3642, H4194, H4809, S947 (2019); emergency rate-increase freezes (S344, 2021; S218, 2023); public election of the PSC (H4531, 2019).</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Citizen oversight: </w:t>
      </w:r>
      <w:r>
        <w:rPr>
          <w:rFonts w:ascii="Arial" w:cs="Arial" w:eastAsia="Arial" w:hAnsi="Arial"/>
          <w:color w:val="444444"/>
          <w:sz w:val="20"/>
          <w:szCs w:val="20"/>
          <w:rtl w:val="0"/>
        </w:rPr>
        <w:t xml:space="preserve">H5283 (2026, a Utility Citizens Council funded by the utilities) and H5282 (2026, PSC approval before billing-practice changes).</w:t>
      </w:r>
    </w:p>
    <w:p>
      <w:pPr>
        <w:keepNext/>
        <w:spacing w:before="70" w:after="30" w:line="250" w:lineRule="auto"/>
        <w:rPr/>
      </w:pPr>
      <w:r>
        <w:rPr>
          <w:rFonts w:ascii="Arial" w:cs="Arial" w:eastAsia="Arial" w:hAnsi="Arial"/>
          <w:b w:val="1"/>
          <w:bCs w:val="1"/>
          <w:color w:val="2e4a78"/>
          <w:sz w:val="24"/>
          <w:szCs w:val="24"/>
          <w:rtl w:val="0"/>
        </w:rPr>
        <w:t xml:space="preserve">Never filed (the disclosure half)</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 </w:t>
      </w:r>
      <w:r>
        <w:rPr>
          <w:rFonts w:ascii="Arial" w:cs="Arial" w:eastAsia="Arial" w:hAnsi="Arial"/>
          <w:color w:val="444444"/>
          <w:sz w:val="20"/>
          <w:szCs w:val="20"/>
          <w:rtl w:val="0"/>
        </w:rPr>
        <w:t xml:space="preserve">No bill from 2019–2026 adds a utility-specific disclosure duty for legislators themselves. The grid's legislator note says members already report on their Statements of Economic Interests; those annual ethics filings are public but not utility-specific. Every filed approach regulated what utilities may give (H4260's bans), not what legislators must disclose.</w:t>
      </w:r>
    </w:p>
    <w:p>
      <w:pPr>
        <w:keepNext/>
        <w:spacing w:before="84" w:after="36" w:line="254" w:lineRule="auto"/>
        <w:rPr/>
      </w:pPr>
      <w:r>
        <w:rPr>
          <w:rFonts w:ascii="Arial" w:cs="Arial" w:eastAsia="Arial" w:hAnsi="Arial"/>
          <w:b w:val="1"/>
          <w:bCs w:val="1"/>
          <w:color w:val="c0392b"/>
          <w:sz w:val="25"/>
          <w:szCs w:val="25"/>
          <w:rtl w:val="0"/>
        </w:rPr>
        <w:t xml:space="preserve">OPEN THE UTILITY MARKET / LOWER BARRIERS TO COMPETITION (END THE MONOPOLY)</w:t>
      </w:r>
    </w:p>
    <w:p>
      <w:pPr>
        <w:keepNext/>
        <w:spacing w:after="60"/>
        <w:rPr/>
      </w:pPr>
      <w:r>
        <w:rPr>
          <w:rFonts w:ascii="Arial" w:cs="Arial" w:eastAsia="Arial" w:hAnsi="Arial"/>
          <w:i w:val="1"/>
          <w:iCs w:val="1"/>
          <w:color w:val="666666"/>
          <w:sz w:val="20"/>
          <w:szCs w:val="20"/>
          <w:rtl w:val="0"/>
        </w:rPr>
        <w:t xml:space="preserve">Raised in two of four in-person events, with mixed consensus: some supported the idea that a free market could lower prices, while others worried it was impractical given the infrastructure it takes to run a utility. The record: studied once by law; every operative bill was filed in 2026 and died without a vote.</w:t>
      </w:r>
    </w:p>
    <w:p>
      <w:pPr>
        <w:keepNext/>
        <w:spacing w:before="70" w:after="30" w:line="250" w:lineRule="auto"/>
        <w:rPr/>
      </w:pPr>
      <w:r>
        <w:rPr>
          <w:rFonts w:ascii="Arial" w:cs="Arial" w:eastAsia="Arial" w:hAnsi="Arial"/>
          <w:b w:val="1"/>
          <w:bCs w:val="1"/>
          <w:color w:val="2e4a78"/>
          <w:sz w:val="24"/>
          <w:szCs w:val="24"/>
          <w:rtl w:val="0"/>
        </w:rPr>
        <w:t xml:space="preserve">Already law (a study, not a market change)</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H4940 (Act 187 of 2020): </w:t>
      </w:r>
      <w:r>
        <w:rPr>
          <w:rFonts w:ascii="Arial" w:cs="Arial" w:eastAsia="Arial" w:hAnsi="Arial"/>
          <w:color w:val="444444"/>
          <w:sz w:val="20"/>
          <w:szCs w:val="20"/>
          <w:rtl w:val="0"/>
        </w:rPr>
        <w:t xml:space="preserve">created the Electricity Market Reform Measures Study Committee, with an independent expert consultant, to examine the exact feasibility question participants raised; House 81–31 (the most contested vote of any enacted bill here), Senate 41–0. Its report is outside this bill record.</w:t>
      </w:r>
    </w:p>
    <w:p>
      <w:pPr>
        <w:keepNext/>
        <w:spacing w:before="70" w:after="30" w:line="250" w:lineRule="auto"/>
        <w:rPr/>
      </w:pPr>
      <w:r>
        <w:rPr>
          <w:rFonts w:ascii="Arial" w:cs="Arial" w:eastAsia="Arial" w:hAnsi="Arial"/>
          <w:b w:val="1"/>
          <w:bCs w:val="1"/>
          <w:color w:val="2e4a78"/>
          <w:sz w:val="24"/>
          <w:szCs w:val="24"/>
          <w:rtl w:val="0"/>
        </w:rPr>
        <w:t xml:space="preserve">Stopped early (died in first committee, no recorded vote)</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H5439 (2026): </w:t>
      </w:r>
      <w:r>
        <w:rPr>
          <w:rFonts w:ascii="Arial" w:cs="Arial" w:eastAsia="Arial" w:hAnsi="Arial"/>
          <w:color w:val="444444"/>
          <w:sz w:val="20"/>
          <w:szCs w:val="20"/>
          <w:rtl w:val="0"/>
        </w:rPr>
        <w:t xml:space="preserve">the Electric Retail Choice Act — households and small businesses choose their generation supplier, with PSC permits and plain-language price disclosures.</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H5440 / S878 (2026): </w:t>
      </w:r>
      <w:r>
        <w:rPr>
          <w:rFonts w:ascii="Arial" w:cs="Arial" w:eastAsia="Arial" w:hAnsi="Arial"/>
          <w:color w:val="444444"/>
          <w:sz w:val="20"/>
          <w:szCs w:val="20"/>
          <w:rtl w:val="0"/>
        </w:rPr>
        <w:t xml:space="preserve">third-party suppliers for eligible customers over the incumbent's wires, the customer arranging transmission — designs that use the existing infrastructure rather than duplicating it.</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H5525 (2026): </w:t>
      </w:r>
      <w:r>
        <w:rPr>
          <w:rFonts w:ascii="Arial" w:cs="Arial" w:eastAsia="Arial" w:hAnsi="Arial"/>
          <w:color w:val="444444"/>
          <w:sz w:val="20"/>
          <w:szCs w:val="20"/>
          <w:rtl w:val="0"/>
        </w:rPr>
        <w:t xml:space="preserve">PSC oversight of electric co-ops' wholesale power contracts and rates ("wholesale market access").</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H3344 (2019): </w:t>
      </w:r>
      <w:r>
        <w:rPr>
          <w:rFonts w:ascii="Arial" w:cs="Arial" w:eastAsia="Arial" w:hAnsi="Arial"/>
          <w:color w:val="444444"/>
          <w:sz w:val="20"/>
          <w:szCs w:val="20"/>
          <w:rtl w:val="0"/>
        </w:rPr>
        <w:t xml:space="preserve">businesses could buy from a supplier outside their territory. **S439 (2021):** Santee Cooper forced to sell its plants and join a regional grid operator. **S998 (2019):** the Senate study version.</w:t>
      </w:r>
    </w:p>
    <w:p>
      <w:pPr>
        <w:keepNext/>
        <w:spacing w:before="70" w:after="30" w:line="250" w:lineRule="auto"/>
        <w:rPr/>
      </w:pPr>
      <w:r>
        <w:rPr>
          <w:rFonts w:ascii="Arial" w:cs="Arial" w:eastAsia="Arial" w:hAnsi="Arial"/>
          <w:b w:val="1"/>
          <w:bCs w:val="1"/>
          <w:color w:val="2e4a78"/>
          <w:sz w:val="24"/>
          <w:szCs w:val="24"/>
          <w:rtl w:val="0"/>
        </w:rPr>
        <w:t xml:space="preserve">Nearby floor signal</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S12 (2025-26): </w:t>
      </w:r>
      <w:r>
        <w:rPr>
          <w:rFonts w:ascii="Arial" w:cs="Arial" w:eastAsia="Arial" w:hAnsi="Arial"/>
          <w:color w:val="444444"/>
          <w:sz w:val="20"/>
          <w:szCs w:val="20"/>
          <w:rtl w:val="0"/>
        </w:rPr>
        <w:t xml:space="preserve">Santee Cooper co-owning plants with private utilities — the record's closest utility floor vote, 25–18 on second reading, then recommitted and never revived.</w:t>
      </w:r>
    </w:p>
    <w:p>
      <w:pPr>
        <w:keepNext/>
        <w:spacing w:before="70" w:after="30" w:line="250" w:lineRule="auto"/>
        <w:rPr/>
      </w:pPr>
      <w:r>
        <w:rPr>
          <w:rFonts w:ascii="Arial" w:cs="Arial" w:eastAsia="Arial" w:hAnsi="Arial"/>
          <w:b w:val="1"/>
          <w:bCs w:val="1"/>
          <w:color w:val="2e4a78"/>
          <w:sz w:val="24"/>
          <w:szCs w:val="24"/>
          <w:rtl w:val="0"/>
        </w:rPr>
        <w:t xml:space="preserve">Never filed</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 </w:t>
      </w:r>
      <w:r>
        <w:rPr>
          <w:rFonts w:ascii="Arial" w:cs="Arial" w:eastAsia="Arial" w:hAnsi="Arial"/>
          <w:color w:val="444444"/>
          <w:sz w:val="20"/>
          <w:szCs w:val="20"/>
          <w:rtl w:val="0"/>
        </w:rPr>
        <w:t xml:space="preserve">A straight repeal of exclusive service territories. The 2026 bills all route choice through PSC permits and incumbent wires rather than abolishing territories outright.</w:t>
      </w:r>
    </w:p>
    <w:p>
      <w:pPr>
        <w:keepNext/>
        <w:spacing w:before="84" w:after="36" w:line="254" w:lineRule="auto"/>
        <w:rPr/>
      </w:pPr>
      <w:r>
        <w:rPr>
          <w:rFonts w:ascii="Arial" w:cs="Arial" w:eastAsia="Arial" w:hAnsi="Arial"/>
          <w:b w:val="1"/>
          <w:bCs w:val="1"/>
          <w:color w:val="c0392b"/>
          <w:sz w:val="25"/>
          <w:szCs w:val="25"/>
          <w:rtl w:val="0"/>
        </w:rPr>
        <w:t xml:space="preserve">PERSONAL BUDGETING AND FINANCIAL EDUCATION</w:t>
      </w:r>
    </w:p>
    <w:p>
      <w:pPr>
        <w:keepNext/>
        <w:spacing w:after="60"/>
        <w:rPr/>
      </w:pPr>
      <w:r>
        <w:rPr>
          <w:rFonts w:ascii="Arial" w:cs="Arial" w:eastAsia="Arial" w:hAnsi="Arial"/>
          <w:i w:val="1"/>
          <w:iCs w:val="1"/>
          <w:color w:val="666666"/>
          <w:sz w:val="20"/>
          <w:szCs w:val="20"/>
          <w:rtl w:val="0"/>
        </w:rPr>
        <w:t xml:space="preserve">Raised in one event (Columbia), with mixed consensus: agreement that financial responsibility matters, divergence over how to accomplish it, and concerns about implementation and whether it is the state's role. The grid's legislator note asks that the idea be tied to a specific action, such as a subject taught in schools. The record: that specific action is already taken — through a budget proviso and a regulation.</w:t>
      </w:r>
    </w:p>
    <w:p>
      <w:pPr>
        <w:keepNext/>
        <w:spacing w:before="70" w:after="30" w:line="250" w:lineRule="auto"/>
        <w:rPr/>
      </w:pPr>
      <w:r>
        <w:rPr>
          <w:rFonts w:ascii="Arial" w:cs="Arial" w:eastAsia="Arial" w:hAnsi="Arial"/>
          <w:b w:val="1"/>
          <w:bCs w:val="1"/>
          <w:color w:val="2e4a78"/>
          <w:sz w:val="24"/>
          <w:szCs w:val="24"/>
          <w:rtl w:val="0"/>
        </w:rPr>
        <w:t xml:space="preserve">Already law / in force</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FY 2022-23 budget proviso 1.101: </w:t>
      </w:r>
      <w:r>
        <w:rPr>
          <w:rFonts w:ascii="Arial" w:cs="Arial" w:eastAsia="Arial" w:hAnsi="Arial"/>
          <w:color w:val="444444"/>
          <w:sz w:val="20"/>
          <w:szCs w:val="20"/>
          <w:rtl w:val="0"/>
        </w:rPr>
        <w:t xml:space="preserve">ordered the State Board of Education to write a required half-credit in personal finance into the graduation rules — the school-subject action the note describes.</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Regulation 43-234 (Document 5130), effective May 26, 2023: </w:t>
      </w:r>
      <w:r>
        <w:rPr>
          <w:rFonts w:ascii="Arial" w:cs="Arial" w:eastAsia="Arial" w:hAnsi="Arial"/>
          <w:color w:val="444444"/>
          <w:sz w:val="20"/>
          <w:szCs w:val="20"/>
          <w:rtl w:val="0"/>
        </w:rPr>
        <w:t xml:space="preserve">the requirement itself. Every student entering ninth grade from fall 2023 — the Class of 2027 first — must earn the half-credit. The approval resolution (S732) stalled; the regulation took effect under the review clock anyway.</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Section 59-29-410 (since 2005): </w:t>
      </w:r>
      <w:r>
        <w:rPr>
          <w:rFonts w:ascii="Arial" w:cs="Arial" w:eastAsia="Arial" w:hAnsi="Arial"/>
          <w:color w:val="444444"/>
          <w:sz w:val="20"/>
          <w:szCs w:val="20"/>
          <w:rtl w:val="0"/>
        </w:rPr>
        <w:t xml:space="preserve">the standing financial-literacy instruction statute.</w:t>
      </w:r>
    </w:p>
    <w:p>
      <w:pPr>
        <w:keepNext/>
        <w:spacing w:before="70" w:after="30" w:line="250" w:lineRule="auto"/>
        <w:rPr/>
      </w:pPr>
      <w:r>
        <w:rPr>
          <w:rFonts w:ascii="Arial" w:cs="Arial" w:eastAsia="Arial" w:hAnsi="Arial"/>
          <w:b w:val="1"/>
          <w:bCs w:val="1"/>
          <w:color w:val="2e4a78"/>
          <w:sz w:val="24"/>
          <w:szCs w:val="24"/>
          <w:rtl w:val="0"/>
        </w:rPr>
        <w:t xml:space="preserve">Proven support (passed a chamber or both; never enacted as a bill)</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S16 (2021-22): </w:t>
      </w:r>
      <w:r>
        <w:rPr>
          <w:rFonts w:ascii="Arial" w:cs="Arial" w:eastAsia="Arial" w:hAnsi="Arial"/>
          <w:color w:val="444444"/>
          <w:sz w:val="20"/>
          <w:szCs w:val="20"/>
          <w:rtl w:val="0"/>
        </w:rPr>
        <w:t xml:space="preserve">personal finance coursework required for graduation instead of economics; Senate 44–1 and House 109–0 in differing versions; died in conference.</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H3199 (2019-20): </w:t>
      </w:r>
      <w:r>
        <w:rPr>
          <w:rFonts w:ascii="Arial" w:cs="Arial" w:eastAsia="Arial" w:hAnsi="Arial"/>
          <w:color w:val="444444"/>
          <w:sz w:val="20"/>
          <w:szCs w:val="20"/>
          <w:rtl w:val="0"/>
        </w:rPr>
        <w:t xml:space="preserve">added student-loan, credit, and repayment topics to the required program; House 102–10; died in Senate Education.</w:t>
      </w:r>
    </w:p>
    <w:p>
      <w:pPr>
        <w:keepNext/>
        <w:spacing w:before="70" w:after="30" w:line="250" w:lineRule="auto"/>
        <w:rPr/>
      </w:pPr>
      <w:r>
        <w:rPr>
          <w:rFonts w:ascii="Arial" w:cs="Arial" w:eastAsia="Arial" w:hAnsi="Arial"/>
          <w:b w:val="1"/>
          <w:bCs w:val="1"/>
          <w:color w:val="2e4a78"/>
          <w:sz w:val="24"/>
          <w:szCs w:val="24"/>
          <w:rtl w:val="0"/>
        </w:rPr>
        <w:t xml:space="preserve">Stopped early (died in committee, no recorded vote)</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S15 (2019): </w:t>
      </w:r>
      <w:r>
        <w:rPr>
          <w:rFonts w:ascii="Arial" w:cs="Arial" w:eastAsia="Arial" w:hAnsi="Arial"/>
          <w:color w:val="444444"/>
          <w:sz w:val="20"/>
          <w:szCs w:val="20"/>
          <w:rtl w:val="0"/>
        </w:rPr>
        <w:t xml:space="preserve">the half-credit requirement with an end-of-year test — favorable report, died on the Senate calendar.</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H4149 (2019), H3116 (2021), S405 (2021): </w:t>
      </w:r>
      <w:r>
        <w:rPr>
          <w:rFonts w:ascii="Arial" w:cs="Arial" w:eastAsia="Arial" w:hAnsi="Arial"/>
          <w:color w:val="444444"/>
          <w:sz w:val="20"/>
          <w:szCs w:val="20"/>
          <w:rtl w:val="0"/>
        </w:rPr>
        <w:t xml:space="preserve">graduation-requirement refiles. **H3022, H4582 (2021):** more required topics and life skills for the existing program.</w:t>
      </w:r>
    </w:p>
    <w:p>
      <w:pPr>
        <w:keepNext/>
        <w:spacing w:before="70" w:after="30" w:line="250" w:lineRule="auto"/>
        <w:rPr/>
      </w:pPr>
      <w:r>
        <w:rPr>
          <w:rFonts w:ascii="Arial" w:cs="Arial" w:eastAsia="Arial" w:hAnsi="Arial"/>
          <w:b w:val="1"/>
          <w:bCs w:val="1"/>
          <w:color w:val="2e4a78"/>
          <w:sz w:val="24"/>
          <w:szCs w:val="24"/>
          <w:rtl w:val="0"/>
        </w:rPr>
        <w:t xml:space="preserve">Never filed</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 </w:t>
      </w:r>
      <w:r>
        <w:rPr>
          <w:rFonts w:ascii="Arial" w:cs="Arial" w:eastAsia="Arial" w:hAnsi="Arial"/>
          <w:color w:val="444444"/>
          <w:sz w:val="20"/>
          <w:szCs w:val="20"/>
          <w:rtl w:val="0"/>
        </w:rPr>
        <w:t xml:space="preserve">Anything on financial education for adults — every bill here is about high school students. The first bound class graduates in 2027, so no outcome data exists yet.</w:t>
      </w:r>
    </w:p>
    <w:p>
      <w:pPr>
        <w:keepNext/>
        <w:spacing w:before="84" w:after="36" w:line="254" w:lineRule="auto"/>
        <w:rPr/>
      </w:pPr>
      <w:r>
        <w:rPr>
          <w:rFonts w:ascii="Arial" w:cs="Arial" w:eastAsia="Arial" w:hAnsi="Arial"/>
          <w:b w:val="1"/>
          <w:bCs w:val="1"/>
          <w:color w:val="c0392b"/>
          <w:sz w:val="25"/>
          <w:szCs w:val="25"/>
          <w:rtl w:val="0"/>
        </w:rPr>
        <w:t xml:space="preserve">REDUCE / ELIMINATE PROPERTY AND VEHICLE TAXES</w:t>
      </w:r>
    </w:p>
    <w:p>
      <w:pPr>
        <w:keepNext/>
        <w:spacing w:after="60"/>
        <w:rPr/>
      </w:pPr>
      <w:r>
        <w:rPr>
          <w:rFonts w:ascii="Arial" w:cs="Arial" w:eastAsia="Arial" w:hAnsi="Arial"/>
          <w:i w:val="1"/>
          <w:iCs w:val="1"/>
          <w:color w:val="666666"/>
          <w:sz w:val="20"/>
          <w:szCs w:val="20"/>
          <w:rtl w:val="0"/>
        </w:rPr>
        <w:t xml:space="preserve">From the grid's legislator-feedback section (no Phase 2 frequency or consensus cells); the standing tradeoff is replacing the revenue schools and local governments run on. The record: eighty bills, narrow wins, and the biggest recent relief delivered one year at a time in the budget.</w:t>
      </w:r>
    </w:p>
    <w:p>
      <w:pPr>
        <w:keepNext/>
        <w:spacing w:before="70" w:after="30" w:line="250" w:lineRule="auto"/>
        <w:rPr/>
      </w:pPr>
      <w:r>
        <w:rPr>
          <w:rFonts w:ascii="Arial" w:cs="Arial" w:eastAsia="Arial" w:hAnsi="Arial"/>
          <w:b w:val="1"/>
          <w:bCs w:val="1"/>
          <w:color w:val="2e4a78"/>
          <w:sz w:val="24"/>
          <w:szCs w:val="24"/>
          <w:rtl w:val="0"/>
        </w:rPr>
        <w:t xml:space="preserve">Already law</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S866 (Act 228 of 2026): </w:t>
      </w:r>
      <w:r>
        <w:rPr>
          <w:rFonts w:ascii="Arial" w:cs="Arial" w:eastAsia="Arial" w:hAnsi="Arial"/>
          <w:color w:val="444444"/>
          <w:sz w:val="20"/>
          <w:szCs w:val="20"/>
          <w:rtl w:val="0"/>
        </w:rPr>
        <w:t xml:space="preserve">the Municipal Tax Relief Act — certain cities may ask voters to approve up to a 1% sales tax funding property tax credits on homes; 32–9 and 96–16. It answers the revenue tradeoff by swapping the source — the design counties have had since the early 1990s under the Local Option Sales Tax (§4-10-10).</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H3116 (Act 116 of 2024): </w:t>
      </w:r>
      <w:r>
        <w:rPr>
          <w:rFonts w:ascii="Arial" w:cs="Arial" w:eastAsia="Arial" w:hAnsi="Arial"/>
          <w:color w:val="444444"/>
          <w:sz w:val="20"/>
          <w:szCs w:val="20"/>
          <w:rtl w:val="0"/>
        </w:rPr>
        <w:t xml:space="preserve">disabled veterans (and qualifying surviving spouses) get the exemption the year disability occurs; 111–0 and 45–0.</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H3841 (Act 140 of 2026): </w:t>
      </w:r>
      <w:r>
        <w:rPr>
          <w:rFonts w:ascii="Arial" w:cs="Arial" w:eastAsia="Arial" w:hAnsi="Arial"/>
          <w:color w:val="444444"/>
          <w:sz w:val="20"/>
          <w:szCs w:val="20"/>
          <w:rtl w:val="0"/>
        </w:rPr>
        <w:t xml:space="preserve">a home keeps its 4% rate and exemptions while the owner's estate settles; 107–0 and 43–0.</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S233 (Act 236 of 2022): </w:t>
      </w:r>
      <w:r>
        <w:rPr>
          <w:rFonts w:ascii="Arial" w:cs="Arial" w:eastAsia="Arial" w:hAnsi="Arial"/>
          <w:color w:val="444444"/>
          <w:sz w:val="20"/>
          <w:szCs w:val="20"/>
          <w:rtl w:val="0"/>
        </w:rPr>
        <w:t xml:space="preserve">homestead exemption for qualifying surviving spouses and heirs' property; 40–0 and 107–4. **H3482 (Act 69 of 2021):** county installment schedules; 110–0 and 45–0. **H3630 (Act 96 of 2019):** penalty delay in the 2019 shutdown.</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In the budget: </w:t>
      </w:r>
      <w:r>
        <w:rPr>
          <w:rFonts w:ascii="Arial" w:cs="Arial" w:eastAsia="Arial" w:hAnsi="Arial"/>
          <w:color w:val="444444"/>
          <w:sz w:val="20"/>
          <w:szCs w:val="20"/>
          <w:rtl w:val="0"/>
        </w:rPr>
        <w:t xml:space="preserve">proviso 117.220 (extra $25,000 homestead exemption, state-reimbursed) and provisos 117.208/117.191 (rate cut ahead of the statute's triggers).</w:t>
      </w:r>
    </w:p>
    <w:p>
      <w:pPr>
        <w:keepNext/>
        <w:spacing w:before="70" w:after="30" w:line="250" w:lineRule="auto"/>
        <w:rPr/>
      </w:pPr>
      <w:r>
        <w:rPr>
          <w:rFonts w:ascii="Arial" w:cs="Arial" w:eastAsia="Arial" w:hAnsi="Arial"/>
          <w:b w:val="1"/>
          <w:bCs w:val="1"/>
          <w:color w:val="2e4a78"/>
          <w:sz w:val="24"/>
          <w:szCs w:val="24"/>
          <w:rtl w:val="0"/>
        </w:rPr>
        <w:t xml:space="preserve">Proven support</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S768 (2026): </w:t>
      </w:r>
      <w:r>
        <w:rPr>
          <w:rFonts w:ascii="Arial" w:cs="Arial" w:eastAsia="Arial" w:hAnsi="Arial"/>
          <w:color w:val="444444"/>
          <w:sz w:val="20"/>
          <w:szCs w:val="20"/>
          <w:rtl w:val="0"/>
        </w:rPr>
        <w:t xml:space="preserve">homestead exemption to $100,000, eligibility age down to 60; Senate 44–0; died in House Ways and Means — the only broad increase ever to pass a chamber.</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H4880 (2022): </w:t>
      </w:r>
      <w:r>
        <w:rPr>
          <w:rFonts w:ascii="Arial" w:cs="Arial" w:eastAsia="Arial" w:hAnsi="Arial"/>
          <w:color w:val="444444"/>
          <w:sz w:val="20"/>
          <w:szCs w:val="20"/>
          <w:rtl w:val="0"/>
        </w:rPr>
        <w:t xml:space="preserve">the House's income tax cut (top rate to 6%); 112–0; died in Senate Finance as the Senate's version (S1087, Act 228 of 2022) became law.</w:t>
      </w:r>
    </w:p>
    <w:p>
      <w:pPr>
        <w:keepNext/>
        <w:spacing w:before="70" w:after="30" w:line="250" w:lineRule="auto"/>
        <w:rPr/>
      </w:pPr>
      <w:r>
        <w:rPr>
          <w:rFonts w:ascii="Arial" w:cs="Arial" w:eastAsia="Arial" w:hAnsi="Arial"/>
          <w:b w:val="1"/>
          <w:bCs w:val="1"/>
          <w:color w:val="2e4a78"/>
          <w:sz w:val="24"/>
          <w:szCs w:val="24"/>
          <w:rtl w:val="0"/>
        </w:rPr>
        <w:t xml:space="preserve">Stopped early (died in first committee, no recorded vote)</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Eliminate property taxes entirely: </w:t>
      </w:r>
      <w:r>
        <w:rPr>
          <w:rFonts w:ascii="Arial" w:cs="Arial" w:eastAsia="Arial" w:hAnsi="Arial"/>
          <w:color w:val="444444"/>
          <w:sz w:val="20"/>
          <w:szCs w:val="20"/>
          <w:rtl w:val="0"/>
        </w:rPr>
        <w:t xml:space="preserve">H3378 (2025) — all property, with dollar-for-dollar state reimbursement to local governments; House Ways and Means.</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Homestead exemption increases (35 bills): </w:t>
      </w:r>
      <w:r>
        <w:rPr>
          <w:rFonts w:ascii="Arial" w:cs="Arial" w:eastAsia="Arial" w:hAnsi="Arial"/>
          <w:color w:val="444444"/>
          <w:sz w:val="20"/>
          <w:szCs w:val="20"/>
          <w:rtl w:val="0"/>
        </w:rPr>
        <w:t xml:space="preserve">to $75,000 (S910, 2019), to $100,000 (H3127, 2023), to the home's full value (H3687, 2019; H4197, 2021), greater-of formulas (H5264, 2023; H3380, 2025), new groups (deaf taxpayers: S1027, 2021; S433, 2023), refiled by the half-dozen in 2025-26 (H3419, H3427, H3511, H3742, H4599, H4690, S223).</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Full senior exemptions: </w:t>
      </w:r>
      <w:r>
        <w:rPr>
          <w:rFonts w:ascii="Arial" w:cs="Arial" w:eastAsia="Arial" w:hAnsi="Arial"/>
          <w:color w:val="444444"/>
          <w:sz w:val="20"/>
          <w:szCs w:val="20"/>
          <w:rtl w:val="0"/>
        </w:rPr>
        <w:t xml:space="preserve">the entire home at 65 (H3736, 2019), at 70 (S565, H4818, 2019; S12 refilings), at 80 (H3122, 2019; H3386, 2021; H3086, 2023); the Property Tax Relief for Seniors Act (H3424, 2025: up to $1 million of value, funded by a new sales tax).</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Vehicle and boat taxes (13 bills, zero votes): </w:t>
      </w:r>
      <w:r>
        <w:rPr>
          <w:rFonts w:ascii="Arial" w:cs="Arial" w:eastAsia="Arial" w:hAnsi="Arial"/>
          <w:color w:val="444444"/>
          <w:sz w:val="20"/>
          <w:szCs w:val="20"/>
          <w:rtl w:val="0"/>
        </w:rPr>
        <w:t xml:space="preserve">one car exempt for seniors (H5014, 2026); disabled veterans' vehicles (H4564, S943); disabled first responders (H4511, H3410); service members posted out of state (S1018); guardians (H4138); boats taxed where kept (S38), no double billing in twelve months (H5111); and two bills (H3385, H3085) barring treasurers from refusing a car-tax payment because the taxpayer owes on something else.</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Valuation changes: </w:t>
      </w:r>
      <w:r>
        <w:rPr>
          <w:rFonts w:ascii="Arial" w:cs="Arial" w:eastAsia="Arial" w:hAnsi="Arial"/>
          <w:color w:val="444444"/>
          <w:sz w:val="20"/>
          <w:szCs w:val="20"/>
          <w:rtl w:val="0"/>
        </w:rPr>
        <w:t xml:space="preserve">constitutional amendments to redefine fair market value and remove the 15% reassessment cap (H3626, H3671, H3809); delay all reassessments to 2026 (H4910).</w:t>
      </w:r>
    </w:p>
    <w:p>
      <w:pPr>
        <w:keepNext/>
        <w:spacing w:before="70" w:after="30" w:line="250" w:lineRule="auto"/>
        <w:rPr/>
      </w:pPr>
      <w:r>
        <w:rPr>
          <w:rFonts w:ascii="Arial" w:cs="Arial" w:eastAsia="Arial" w:hAnsi="Arial"/>
          <w:b w:val="1"/>
          <w:bCs w:val="1"/>
          <w:color w:val="2e4a78"/>
          <w:sz w:val="24"/>
          <w:szCs w:val="24"/>
          <w:rtl w:val="0"/>
        </w:rPr>
        <w:t xml:space="preserve">Never filed</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 </w:t>
      </w:r>
      <w:r>
        <w:rPr>
          <w:rFonts w:ascii="Arial" w:cs="Arial" w:eastAsia="Arial" w:hAnsi="Arial"/>
          <w:color w:val="444444"/>
          <w:sz w:val="20"/>
          <w:szCs w:val="20"/>
          <w:rtl w:val="0"/>
        </w:rPr>
        <w:t xml:space="preserve">Statewide elimination of the vehicle property tax — every vehicle bill is a targeted exemption. (Context for elimination designs: owner-occupied homes already pay no school operating taxes under the 2006 Act 388 swap, so the revenue question concerns the remaining county, municipal, and bond lines.)</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A county tool already on the books (standing law, not a bill): </w:t>
      </w:r>
      <w:r>
        <w:rPr>
          <w:rFonts w:ascii="Arial" w:cs="Arial" w:eastAsia="Arial" w:hAnsi="Arial"/>
          <w:color w:val="444444"/>
          <w:sz w:val="20"/>
          <w:szCs w:val="20"/>
          <w:rtl w:val="0"/>
        </w:rPr>
        <w:t xml:space="preserve">since 2000, §4-10-510 has let a county end car and boat property taxes if county voters approve, swapping in a local sales tax — the only legal route to do it locally. Whether any county has used it is a county decision outside this bill record.</w:t>
      </w:r>
    </w:p>
    <w:p>
      <w:pPr>
        <w:keepNext/>
        <w:spacing w:before="84" w:after="36" w:line="254" w:lineRule="auto"/>
        <w:rPr/>
      </w:pPr>
      <w:r>
        <w:rPr>
          <w:rFonts w:ascii="Arial" w:cs="Arial" w:eastAsia="Arial" w:hAnsi="Arial"/>
          <w:b w:val="1"/>
          <w:bCs w:val="1"/>
          <w:color w:val="c0392b"/>
          <w:sz w:val="25"/>
          <w:szCs w:val="25"/>
          <w:rtl w:val="0"/>
        </w:rPr>
        <w:t xml:space="preserve">CHILD CARE ASSISTANCE (LEGISLATOR-DISCUSSION TOPIC, NOT A PHASE 2 PROPOSAL)</w:t>
      </w:r>
    </w:p>
    <w:p>
      <w:pPr>
        <w:keepNext/>
        <w:spacing w:after="60"/>
        <w:rPr/>
      </w:pPr>
      <w:r>
        <w:rPr>
          <w:rFonts w:ascii="Arial" w:cs="Arial" w:eastAsia="Arial" w:hAnsi="Arial"/>
          <w:i w:val="1"/>
          <w:iCs w:val="1"/>
          <w:color w:val="666666"/>
          <w:sz w:val="20"/>
          <w:szCs w:val="20"/>
          <w:rtl w:val="0"/>
        </w:rPr>
        <w:t xml:space="preserve">Raised in reported discussions with sitting legislators; scanned on request. The record: regulation passes; every assistance design sits in a money committee without a vote; filings are accelerating and all run through the tax code.</w:t>
      </w:r>
    </w:p>
    <w:p>
      <w:pPr>
        <w:keepNext/>
        <w:spacing w:before="70" w:after="30" w:line="250" w:lineRule="auto"/>
        <w:rPr/>
      </w:pPr>
      <w:r>
        <w:rPr>
          <w:rFonts w:ascii="Arial" w:cs="Arial" w:eastAsia="Arial" w:hAnsi="Arial"/>
          <w:b w:val="1"/>
          <w:bCs w:val="1"/>
          <w:color w:val="2e4a78"/>
          <w:sz w:val="24"/>
          <w:szCs w:val="24"/>
          <w:rtl w:val="0"/>
        </w:rPr>
        <w:t xml:space="preserve">Already law (regulation and governance, not assistance)</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S595 (Act 52 of 2019): </w:t>
      </w:r>
      <w:r>
        <w:rPr>
          <w:rFonts w:ascii="Arial" w:cs="Arial" w:eastAsia="Arial" w:hAnsi="Arial"/>
          <w:color w:val="444444"/>
          <w:sz w:val="20"/>
          <w:szCs w:val="20"/>
          <w:rtl w:val="0"/>
        </w:rPr>
        <w:t xml:space="preserve">background-check rules for childcare facility staff; 39–0 and 100–1.</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H4023 (Act 81 of 2023): </w:t>
      </w:r>
      <w:r>
        <w:rPr>
          <w:rFonts w:ascii="Arial" w:cs="Arial" w:eastAsia="Arial" w:hAnsi="Arial"/>
          <w:color w:val="444444"/>
          <w:sz w:val="20"/>
          <w:szCs w:val="20"/>
          <w:rtl w:val="0"/>
        </w:rPr>
        <w:t xml:space="preserve">restructured the county-level First Steps partnership boards; 41–0 and 107–0.</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S862 (Act 216 of 2024): </w:t>
      </w:r>
      <w:r>
        <w:rPr>
          <w:rFonts w:ascii="Arial" w:cs="Arial" w:eastAsia="Arial" w:hAnsi="Arial"/>
          <w:color w:val="444444"/>
          <w:sz w:val="20"/>
          <w:szCs w:val="20"/>
          <w:rtl w:val="0"/>
        </w:rPr>
        <w:t xml:space="preserve">caregiver education and training requirements for childcare centers; 44–0 and 108–0.</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In the budget: </w:t>
      </w:r>
      <w:r>
        <w:rPr>
          <w:rFonts w:ascii="Arial" w:cs="Arial" w:eastAsia="Arial" w:hAnsi="Arial"/>
          <w:color w:val="444444"/>
          <w:sz w:val="20"/>
          <w:szCs w:val="20"/>
          <w:rtl w:val="0"/>
        </w:rPr>
        <w:t xml:space="preserve">the federal voucher program runs through DSS under proviso 38.17 (vouchers must go to providers exceeding minimum licensing standards); FY 2026-27 adds fraud reporting (38.28); Full-Day 4K expands through provisos yearly.</w:t>
      </w:r>
    </w:p>
    <w:p>
      <w:pPr>
        <w:keepNext/>
        <w:spacing w:before="70" w:after="30" w:line="250" w:lineRule="auto"/>
        <w:rPr/>
      </w:pPr>
      <w:r>
        <w:rPr>
          <w:rFonts w:ascii="Arial" w:cs="Arial" w:eastAsia="Arial" w:hAnsi="Arial"/>
          <w:b w:val="1"/>
          <w:bCs w:val="1"/>
          <w:color w:val="2e4a78"/>
          <w:sz w:val="24"/>
          <w:szCs w:val="24"/>
          <w:rtl w:val="0"/>
        </w:rPr>
        <w:t xml:space="preserve">Proven support</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S946 (2024): </w:t>
      </w:r>
      <w:r>
        <w:rPr>
          <w:rFonts w:ascii="Arial" w:cs="Arial" w:eastAsia="Arial" w:hAnsi="Arial"/>
          <w:color w:val="444444"/>
          <w:sz w:val="20"/>
          <w:szCs w:val="20"/>
          <w:rtl w:val="0"/>
        </w:rPr>
        <w:t xml:space="preserve">childcare regulations modernization; Senate 45–0 and House 105–0 in differing versions; died in conference at session's end.</w:t>
      </w:r>
    </w:p>
    <w:p>
      <w:pPr>
        <w:keepNext/>
        <w:spacing w:before="70" w:after="30" w:line="250" w:lineRule="auto"/>
        <w:rPr/>
      </w:pPr>
      <w:r>
        <w:rPr>
          <w:rFonts w:ascii="Arial" w:cs="Arial" w:eastAsia="Arial" w:hAnsi="Arial"/>
          <w:b w:val="1"/>
          <w:bCs w:val="1"/>
          <w:color w:val="2e4a78"/>
          <w:sz w:val="24"/>
          <w:szCs w:val="24"/>
          <w:rtl w:val="0"/>
        </w:rPr>
        <w:t xml:space="preserve">Stopped early (died in a money committee, no recorded vote)</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H4394 (2025): </w:t>
      </w:r>
      <w:r>
        <w:rPr>
          <w:rFonts w:ascii="Arial" w:cs="Arial" w:eastAsia="Arial" w:hAnsi="Arial"/>
          <w:color w:val="444444"/>
          <w:sz w:val="20"/>
          <w:szCs w:val="20"/>
          <w:rtl w:val="0"/>
        </w:rPr>
        <w:t xml:space="preserve">childcare stipends, through DSS and the state workforce agency, for unemployed parents and caregivers of children under 12 — the only direct-assistance design filed; House Ways and Means.</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S47 / H4015 (2025): </w:t>
      </w:r>
      <w:r>
        <w:rPr>
          <w:rFonts w:ascii="Arial" w:cs="Arial" w:eastAsia="Arial" w:hAnsi="Arial"/>
          <w:color w:val="444444"/>
          <w:sz w:val="20"/>
          <w:szCs w:val="20"/>
          <w:rtl w:val="0"/>
        </w:rPr>
        <w:t xml:space="preserve">a bigger employer childcare-program tax credit plus a new credit for childcare directors and staff (a pay supplement through the tax code); Senate Finance / House Ways and Means.</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H5794 (filed August 2026): </w:t>
      </w:r>
      <w:r>
        <w:rPr>
          <w:rFonts w:ascii="Arial" w:cs="Arial" w:eastAsia="Arial" w:hAnsi="Arial"/>
          <w:color w:val="444444"/>
          <w:sz w:val="20"/>
          <w:szCs w:val="20"/>
          <w:rtl w:val="0"/>
        </w:rPr>
        <w:t xml:space="preserve">make the child and dependent care credit refundable — the newest bill in this entire set; House Ways and Means.</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H4993 (2024): </w:t>
      </w:r>
      <w:r>
        <w:rPr>
          <w:rFonts w:ascii="Arial" w:cs="Arial" w:eastAsia="Arial" w:hAnsi="Arial"/>
          <w:color w:val="444444"/>
          <w:sz w:val="20"/>
          <w:szCs w:val="20"/>
          <w:rtl w:val="0"/>
        </w:rPr>
        <w:t xml:space="preserve">the Childcare Advance Act, an income tax deferral against childcare expenses. **H5205 (2024):** pre-K expansion grants. **H3079 (2021):** an affordable-childcare study committee. **S291 (2019):** an early-childhood department.</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The other direction: </w:t>
      </w:r>
      <w:r>
        <w:rPr>
          <w:rFonts w:ascii="Arial" w:cs="Arial" w:eastAsia="Arial" w:hAnsi="Arial"/>
          <w:color w:val="444444"/>
          <w:sz w:val="20"/>
          <w:szCs w:val="20"/>
          <w:rtl w:val="0"/>
        </w:rPr>
        <w:t xml:space="preserve">S770 (2026) would add employment requirements to federally funded childcare assistance; first committee.</w:t>
      </w:r>
    </w:p>
    <w:p>
      <w:pPr>
        <w:keepNext/>
        <w:spacing w:before="70" w:after="30" w:line="250" w:lineRule="auto"/>
        <w:rPr/>
      </w:pPr>
      <w:r>
        <w:rPr>
          <w:rFonts w:ascii="Arial" w:cs="Arial" w:eastAsia="Arial" w:hAnsi="Arial"/>
          <w:b w:val="1"/>
          <w:bCs w:val="1"/>
          <w:color w:val="2e4a78"/>
          <w:sz w:val="24"/>
          <w:szCs w:val="24"/>
          <w:rtl w:val="0"/>
        </w:rPr>
        <w:t xml:space="preserve">Never filed</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 </w:t>
      </w:r>
      <w:r>
        <w:rPr>
          <w:rFonts w:ascii="Arial" w:cs="Arial" w:eastAsia="Arial" w:hAnsi="Arial"/>
          <w:color w:val="444444"/>
          <w:sz w:val="20"/>
          <w:szCs w:val="20"/>
          <w:rtl w:val="0"/>
        </w:rPr>
        <w:t xml:space="preserve">A direct-payment state subsidy to families or providers outside the tax code, or a state-funded expansion beyond the federal voucher money. Every filed design extends the two childcare tax credits already in statute (§12-6-3440 and §12-6-3380).</w:t>
      </w:r>
    </w:p>
    <w:p>
      <w:pPr>
        <w:pBdr>
          <w:top w:color="c8cdd6" w:space="4" w:sz="6" w:val="single"/>
        </w:pBdr>
        <w:spacing w:before="40" w:after="0" w:line="276" w:lineRule="auto"/>
        <w:rPr/>
      </w:pPr>
    </w:p>
    <w:p>
      <w:pPr>
        <w:keepNext/>
        <w:spacing w:before="100" w:after="40" w:line="276" w:lineRule="auto"/>
        <w:rPr/>
        <w:sectPr>
          <w:footerReference r:id="rId7" w:type="default"/>
          <w:pgSz w:h="15840" w:w="12240" w:orient="portrait"/>
          <w:pgMar w:bottom="864" w:top="864" w:left="864" w:right="864" w:header="720" w:footer="144"/>
          <w:pgNumType w:start="1"/>
        </w:sectPr>
      </w:pPr>
      <w:r>
        <w:rPr>
          <w:rFonts w:ascii="Arial" w:cs="Arial" w:eastAsia="Arial" w:hAnsi="Arial"/>
          <w:b w:val="1"/>
          <w:bCs w:val="1"/>
          <w:color w:val="c0392b"/>
          <w:sz w:val="25"/>
          <w:szCs w:val="25"/>
          <w:rtl w:val="0"/>
        </w:rPr>
        <w:t xml:space="preserve">GLOSSARY</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Public Service Commission (PSC):</w:t>
      </w:r>
      <w:r>
        <w:rPr>
          <w:rFonts w:ascii="Arial" w:cs="Arial" w:eastAsia="Arial" w:hAnsi="Arial"/>
          <w:color w:val="444444"/>
          <w:sz w:val="20"/>
          <w:szCs w:val="20"/>
          <w:rtl w:val="0"/>
        </w:rPr>
        <w:t xml:space="preserve"> The seven-member state body that sets investor-owned utilities' rates case by case; elected by the General Assembly after screening.</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Public Utilities Review Committee:</w:t>
      </w:r>
      <w:r>
        <w:rPr>
          <w:rFonts w:ascii="Arial" w:cs="Arial" w:eastAsia="Arial" w:hAnsi="Arial"/>
          <w:color w:val="444444"/>
          <w:sz w:val="20"/>
          <w:szCs w:val="20"/>
          <w:rtl w:val="0"/>
        </w:rPr>
        <w:t xml:space="preserve"> The legislative panel that screens PSC candidates; the 2019 Ratepayer Protection Act would have barred utilities from giving its members anything of value.</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Santee Cooper:</w:t>
      </w:r>
      <w:r>
        <w:rPr>
          <w:rFonts w:ascii="Arial" w:cs="Arial" w:eastAsia="Arial" w:hAnsi="Arial"/>
          <w:color w:val="444444"/>
          <w:sz w:val="20"/>
          <w:szCs w:val="20"/>
          <w:rtl w:val="0"/>
        </w:rPr>
        <w:t xml:space="preserve"> The state-owned electric and water utility (officially the SC Public Service Authority); its role in V.C. Summer drove most of the oversight laws in this brief.</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V.C. Summer:</w:t>
      </w:r>
      <w:r>
        <w:rPr>
          <w:rFonts w:ascii="Arial" w:cs="Arial" w:eastAsia="Arial" w:hAnsi="Arial"/>
          <w:color w:val="444444"/>
          <w:sz w:val="20"/>
          <w:szCs w:val="20"/>
          <w:rtl w:val="0"/>
        </w:rPr>
        <w:t xml:space="preserve"> The two-reactor nuclear project abandoned in 2017 after billions in spending; customers were left paying for it, setting off the utility-law wave.</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Rate case:</w:t>
      </w:r>
      <w:r>
        <w:rPr>
          <w:rFonts w:ascii="Arial" w:cs="Arial" w:eastAsia="Arial" w:hAnsi="Arial"/>
          <w:color w:val="444444"/>
          <w:sz w:val="20"/>
          <w:szCs w:val="20"/>
          <w:rtl w:val="0"/>
        </w:rPr>
        <w:t xml:space="preserve"> The PSC proceeding where a utility asks to change its rates; the 2025 Energy Security Act lets customers testify as public witnesses.</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Service territory / retail choice:</w:t>
      </w:r>
      <w:r>
        <w:rPr>
          <w:rFonts w:ascii="Arial" w:cs="Arial" w:eastAsia="Arial" w:hAnsi="Arial"/>
          <w:color w:val="444444"/>
          <w:sz w:val="20"/>
          <w:szCs w:val="20"/>
          <w:rtl w:val="0"/>
        </w:rPr>
        <w:t xml:space="preserve"> State law assigns each area one electric provider; customers cannot choose. Retail-choice bills (first filed 2026) would let customers buy from competing sellers over the existing wires.</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Statement of Economic Interests (SEI):</w:t>
      </w:r>
      <w:r>
        <w:rPr>
          <w:rFonts w:ascii="Arial" w:cs="Arial" w:eastAsia="Arial" w:hAnsi="Arial"/>
          <w:color w:val="444444"/>
          <w:sz w:val="20"/>
          <w:szCs w:val="20"/>
          <w:rtl w:val="0"/>
        </w:rPr>
        <w:t xml:space="preserve"> The annual public disclosure of income sources and business ties legislators file under the ethics law. Not utility-specific.</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Proviso / Part IB:</w:t>
      </w:r>
      <w:r>
        <w:rPr>
          <w:rFonts w:ascii="Arial" w:cs="Arial" w:eastAsia="Arial" w:hAnsi="Arial"/>
          <w:color w:val="444444"/>
          <w:sz w:val="20"/>
          <w:szCs w:val="20"/>
          <w:rtl w:val="0"/>
        </w:rPr>
        <w:t xml:space="preserve"> A one-year policy rule enacted inside the annual budget bill; Part IB is the section that carries them. Votes attach to the whole budget bill, never one proviso.</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Homestead exemption:</w:t>
      </w:r>
      <w:r>
        <w:rPr>
          <w:rFonts w:ascii="Arial" w:cs="Arial" w:eastAsia="Arial" w:hAnsi="Arial"/>
          <w:color w:val="444444"/>
          <w:sz w:val="20"/>
          <w:szCs w:val="20"/>
          <w:rtl w:val="0"/>
        </w:rPr>
        <w:t xml:space="preserve"> For homeowners 65+, disabled, or legally blind, the first $50,000 of home value is tax-exempt (§12-37-250); this year's budget adds a one-year extra $25,000 (proviso 117.220).</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Act 388 swap:</w:t>
      </w:r>
      <w:r>
        <w:rPr>
          <w:rFonts w:ascii="Arial" w:cs="Arial" w:eastAsia="Arial" w:hAnsi="Arial"/>
          <w:color w:val="444444"/>
          <w:sz w:val="20"/>
          <w:szCs w:val="20"/>
          <w:rtl w:val="0"/>
        </w:rPr>
        <w:t xml:space="preserve"> Since 2006, owner-occupied homes pay no school operating property taxes; a statewide sales-tax penny reimburses schools through the Homestead Exemption Fund.</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Assessment ratio:</w:t>
      </w:r>
      <w:r>
        <w:rPr>
          <w:rFonts w:ascii="Arial" w:cs="Arial" w:eastAsia="Arial" w:hAnsi="Arial"/>
          <w:color w:val="444444"/>
          <w:sz w:val="20"/>
          <w:szCs w:val="20"/>
          <w:rtl w:val="0"/>
        </w:rPr>
        <w:t xml:space="preserve"> Owner-occupied homes are taxed on 4% of value; rentals and businesses on 6%. Act 140 of 2026 keeps a home at 4% while an estate settles.</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Vehicle property tax:</w:t>
      </w:r>
      <w:r>
        <w:rPr>
          <w:rFonts w:ascii="Arial" w:cs="Arial" w:eastAsia="Arial" w:hAnsi="Arial"/>
          <w:color w:val="444444"/>
          <w:sz w:val="20"/>
          <w:szCs w:val="20"/>
          <w:rtl w:val="0"/>
        </w:rPr>
        <w:t xml:space="preserve"> The county tax paid each year at registration on a car's value — county revenue, set under state rules.</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Municipal Tax Relief Act:</w:t>
      </w:r>
      <w:r>
        <w:rPr>
          <w:rFonts w:ascii="Arial" w:cs="Arial" w:eastAsia="Arial" w:hAnsi="Arial"/>
          <w:color w:val="444444"/>
          <w:sz w:val="20"/>
          <w:szCs w:val="20"/>
          <w:rtl w:val="0"/>
        </w:rPr>
        <w:t xml:space="preserve"> The 2026 law (S866, Act 228 of 2026) letting certain cities ask voters to approve up to a 1% sales tax that funds property tax credits on owner-occupied homes.</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County local-option taxes:</w:t>
      </w:r>
      <w:r>
        <w:rPr>
          <w:rFonts w:ascii="Arial" w:cs="Arial" w:eastAsia="Arial" w:hAnsi="Arial"/>
          <w:color w:val="444444"/>
          <w:sz w:val="20"/>
          <w:szCs w:val="20"/>
          <w:rtl w:val="0"/>
        </w:rPr>
        <w:t xml:space="preserve"> State laws letting county voters adopt local sales taxes by referendum — the Local Option Sales Tax (since the early 1990s, funding property-tax credits) and the 2000 vehicle-tax swap (§4-10-510). County decisions; the bill record does not show which counties have used them.</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Regulation 43-234 / Doc. 5130:</w:t>
      </w:r>
      <w:r>
        <w:rPr>
          <w:rFonts w:ascii="Arial" w:cs="Arial" w:eastAsia="Arial" w:hAnsi="Arial"/>
          <w:color w:val="444444"/>
          <w:sz w:val="20"/>
          <w:szCs w:val="20"/>
          <w:rtl w:val="0"/>
        </w:rPr>
        <w:t xml:space="preserve"> The graduation regulation requiring a half-credit in personal finance, effective May 26, 2023; ordered by FY 2022-23 proviso 1.101.</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Child care voucher / scholarship:</w:t>
      </w:r>
      <w:r>
        <w:rPr>
          <w:rFonts w:ascii="Arial" w:cs="Arial" w:eastAsia="Arial" w:hAnsi="Arial"/>
          <w:color w:val="444444"/>
          <w:sz w:val="20"/>
          <w:szCs w:val="20"/>
          <w:rtl w:val="0"/>
        </w:rPr>
        <w:t xml:space="preserve"> The federally funded childcare assistance program run through DSS, regulated annually by proviso (38.17).</w:t>
      </w:r>
    </w:p>
    <w:p>
      <w:pPr>
        <w:numPr>
          <w:ilvl w:val="0"/>
          <w:numId w:val="2"/>
        </w:numPr>
        <w:spacing w:after="0" w:afterAutospacing="0" w:line="276" w:lineRule="auto"/>
        <w:ind w:left="720" w:hanging="360"/>
        <w:rPr>
          <w:rFonts w:ascii="Arial" w:cs="Arial" w:eastAsia="Arial" w:hAnsi="Arial"/>
          <w:sz w:val="10"/>
          <w:szCs w:val="10"/>
        </w:rPr>
        <w:sectPr>
          <w:type w:val="continuous"/>
          <w:pgSz w:h="15840" w:w="12240" w:orient="portrait"/>
          <w:pgMar w:bottom="864" w:top="864" w:left="864" w:right="864" w:header="720" w:footer="720"/>
          <w:cols w:equalWidth="0" w:num="2">
            <w:col w:space="240" w:w="5135.999999999999"/>
            <w:col w:space="0" w:w="5135.999999999999"/>
          </w:cols>
        </w:sectPr>
      </w:pPr>
      <w:r>
        <w:rPr>
          <w:rFonts w:ascii="Arial" w:cs="Arial" w:eastAsia="Arial" w:hAnsi="Arial"/>
          <w:b w:val="1"/>
          <w:bCs w:val="1"/>
          <w:color w:val="1a2d4f"/>
          <w:sz w:val="20"/>
          <w:szCs w:val="20"/>
          <w:rtl w:val="0"/>
        </w:rPr>
        <w:t xml:space="preserve">Childcare tax credits:</w:t>
      </w:r>
      <w:r>
        <w:rPr>
          <w:rFonts w:ascii="Arial" w:cs="Arial" w:eastAsia="Arial" w:hAnsi="Arial"/>
          <w:color w:val="444444"/>
          <w:sz w:val="20"/>
          <w:szCs w:val="20"/>
          <w:rtl w:val="0"/>
        </w:rPr>
        <w:t xml:space="preserve"> The two credits already in statute — the employer credit (§12-6-3440) and the child and dependent care credit (§12-6-3380) — that every filed assistance design would extend.</w:t>
      </w:r>
    </w:p>
    <w:p>
      <w:pPr>
        <w:keepNext/>
        <w:spacing w:before="100" w:after="40" w:line="276" w:lineRule="auto"/>
        <w:rPr/>
        <w:sectPr>
          <w:type w:val="nextPage"/>
          <w:pgSz w:h="15840" w:w="12240" w:orient="portrait"/>
          <w:pgMar w:bottom="864" w:top="864" w:left="864" w:right="864" w:header="720" w:footer="720"/>
        </w:sectPr>
      </w:pPr>
      <w:r>
        <w:rPr>
          <w:rFonts w:ascii="Arial" w:cs="Arial" w:eastAsia="Arial" w:hAnsi="Arial"/>
          <w:b w:val="1"/>
          <w:bCs w:val="1"/>
          <w:color w:val="c0392b"/>
          <w:sz w:val="25"/>
          <w:szCs w:val="25"/>
          <w:rtl w:val="0"/>
        </w:rPr>
        <w:t xml:space="preserve">LEGISLATIVE PROCESS GLOSSARY</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H / S bill numbers:</w:t>
      </w:r>
      <w:r>
        <w:rPr>
          <w:rFonts w:ascii="Arial" w:cs="Arial" w:eastAsia="Arial" w:hAnsi="Arial"/>
          <w:color w:val="444444"/>
          <w:sz w:val="20"/>
          <w:szCs w:val="20"/>
          <w:rtl w:val="0"/>
        </w:rPr>
        <w:t xml:space="preserve"> The chamber a bill started in (House or Senate) plus its number. Numbering restarts every two-year General Assembly, so the same number in different sessions is a different bill.</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General Assembly / session:</w:t>
      </w:r>
      <w:r>
        <w:rPr>
          <w:rFonts w:ascii="Arial" w:cs="Arial" w:eastAsia="Arial" w:hAnsi="Arial"/>
          <w:color w:val="444444"/>
          <w:sz w:val="20"/>
          <w:szCs w:val="20"/>
          <w:rtl w:val="0"/>
        </w:rPr>
        <w:t xml:space="preserve"> The legislature elected for two years — the 123rd (2019–2020) through the 126th (2025–2026) appear in this brief. It meets each January; a bill filed in the first year stays alive into the second, and everything unpassed dies when the second year ends.</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Chambers:</w:t>
      </w:r>
      <w:r>
        <w:rPr>
          <w:rFonts w:ascii="Arial" w:cs="Arial" w:eastAsia="Arial" w:hAnsi="Arial"/>
          <w:color w:val="444444"/>
          <w:sz w:val="20"/>
          <w:szCs w:val="20"/>
          <w:rtl w:val="0"/>
        </w:rPr>
        <w:t xml:space="preserve"> The 124-member House of Representatives and the 46-member Senate; a bill must pass both to reach the Governor. Vote totals below those figures reflect absences.</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First committee:</w:t>
      </w:r>
      <w:r>
        <w:rPr>
          <w:rFonts w:ascii="Arial" w:cs="Arial" w:eastAsia="Arial" w:hAnsi="Arial"/>
          <w:color w:val="444444"/>
          <w:sz w:val="20"/>
          <w:szCs w:val="20"/>
          <w:rtl w:val="0"/>
        </w:rPr>
        <w:t xml:space="preserve"> The committee a bill is sent to after introduction. Most bills that fail die there, with no further action recorded — in this record, every market-opening, consumer-billing, and vehicle-tax bill did. In the Senate, utility bills go to Judiciary — a quirk of South Carolina's committee system.</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Committee report:</w:t>
      </w:r>
      <w:r>
        <w:rPr>
          <w:rFonts w:ascii="Arial" w:cs="Arial" w:eastAsia="Arial" w:hAnsi="Arial"/>
          <w:color w:val="444444"/>
          <w:sz w:val="20"/>
          <w:szCs w:val="20"/>
          <w:rtl w:val="0"/>
        </w:rPr>
        <w:t xml:space="preserve"> The committee's published outcome — "Favorable" or "Favorable with amendment." South Carolina publishes these outcomes but never committee vote tallies, so no committee vote counts exist anywhere in these documents.</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Recommitted:</w:t>
      </w:r>
      <w:r>
        <w:rPr>
          <w:rFonts w:ascii="Arial" w:cs="Arial" w:eastAsia="Arial" w:hAnsi="Arial"/>
          <w:color w:val="444444"/>
          <w:sz w:val="20"/>
          <w:szCs w:val="20"/>
          <w:rtl w:val="0"/>
        </w:rPr>
        <w:t xml:space="preserve"> Sent from the floor calendar back to committee — how the Santee Cooper joint-ownership bill (S12) and the Electric Rate Stabilization Act (S446) were shelved in 2026 after advancing.</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Readings:</w:t>
      </w:r>
      <w:r>
        <w:rPr>
          <w:rFonts w:ascii="Arial" w:cs="Arial" w:eastAsia="Arial" w:hAnsi="Arial"/>
          <w:color w:val="444444"/>
          <w:sz w:val="20"/>
          <w:szCs w:val="20"/>
          <w:rtl w:val="0"/>
        </w:rPr>
        <w:t xml:space="preserve"> A bill passes a chamber through three readings; the recorded roll calls in these documents attach to second or third reading, or to "Passage of Bill."</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Roll call / vote pairs (e.g. 94–11 and 38–3):</w:t>
      </w:r>
      <w:r>
        <w:rPr>
          <w:rFonts w:ascii="Arial" w:cs="Arial" w:eastAsia="Arial" w:hAnsi="Arial"/>
          <w:color w:val="444444"/>
          <w:sz w:val="20"/>
          <w:szCs w:val="20"/>
          <w:rtl w:val="0"/>
        </w:rPr>
        <w:t xml:space="preserve"> Yes–no floor tallies, one per chamber — the first number in a pair is usually the House, the second the Senate.</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Second chamber:</w:t>
      </w:r>
      <w:r>
        <w:rPr>
          <w:rFonts w:ascii="Arial" w:cs="Arial" w:eastAsia="Arial" w:hAnsi="Arial"/>
          <w:color w:val="444444"/>
          <w:sz w:val="20"/>
          <w:szCs w:val="20"/>
          <w:rtl w:val="0"/>
        </w:rPr>
        <w:t xml:space="preserve"> After passing its own chamber, a bill repeats the whole process — committee, then floor — in the other one. In this record, that second committee stop is where the House-passed utility-accountability and insurance bills died.</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Conference committee:</w:t>
      </w:r>
      <w:r>
        <w:rPr>
          <w:rFonts w:ascii="Arial" w:cs="Arial" w:eastAsia="Arial" w:hAnsi="Arial"/>
          <w:color w:val="444444"/>
          <w:sz w:val="20"/>
          <w:szCs w:val="20"/>
          <w:rtl w:val="0"/>
        </w:rPr>
        <w:t xml:space="preserve"> Negotiators from both chambers who reconcile differing versions; a bill dies there if the session ends first — the fate of the 2024 energy package (H5118), the personal-finance graduation bill (S16), and the childcare modernization bill (S946).</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Ratified / R number:</w:t>
      </w:r>
      <w:r>
        <w:rPr>
          <w:rFonts w:ascii="Arial" w:cs="Arial" w:eastAsia="Arial" w:hAnsi="Arial"/>
          <w:color w:val="444444"/>
          <w:sz w:val="20"/>
          <w:szCs w:val="20"/>
          <w:rtl w:val="0"/>
        </w:rPr>
        <w:t xml:space="preserve"> After both chambers pass identical text, the bill is ratified and numbered before going to the Governor.</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Act number:</w:t>
      </w:r>
      <w:r>
        <w:rPr>
          <w:rFonts w:ascii="Arial" w:cs="Arial" w:eastAsia="Arial" w:hAnsi="Arial"/>
          <w:color w:val="444444"/>
          <w:sz w:val="20"/>
          <w:szCs w:val="20"/>
          <w:rtl w:val="0"/>
        </w:rPr>
        <w:t xml:space="preserve"> A signed bill becomes a numbered act of its year — "Act 41 of 2025" — the citation these documents use for enacted bills.</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Veto / override:</w:t>
      </w:r>
      <w:r>
        <w:rPr>
          <w:rFonts w:ascii="Arial" w:cs="Arial" w:eastAsia="Arial" w:hAnsi="Arial"/>
          <w:color w:val="444444"/>
          <w:sz w:val="20"/>
          <w:szCs w:val="20"/>
          <w:rtl w:val="0"/>
        </w:rPr>
        <w:t xml:space="preserve"> The Governor can reject a passed bill; the General Assembly can override with a two-thirds vote in each chamber. No bill in this record was vetoed.</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Joint resolution:</w:t>
      </w:r>
      <w:r>
        <w:rPr>
          <w:rFonts w:ascii="Arial" w:cs="Arial" w:eastAsia="Arial" w:hAnsi="Arial"/>
          <w:color w:val="444444"/>
          <w:sz w:val="20"/>
          <w:szCs w:val="20"/>
          <w:rtl w:val="0"/>
        </w:rPr>
        <w:t xml:space="preserve"> A measure with the force of law used for single actions — the Santee Cooper bidding process (H4287), the PSC election restarts (S271, H4402), and the regulation-approval resolutions in this record.</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Regulation review:</w:t>
      </w:r>
      <w:r>
        <w:rPr>
          <w:rFonts w:ascii="Arial" w:cs="Arial" w:eastAsia="Arial" w:hAnsi="Arial"/>
          <w:color w:val="444444"/>
          <w:sz w:val="20"/>
          <w:szCs w:val="20"/>
          <w:rtl w:val="0"/>
        </w:rPr>
        <w:t xml:space="preserve"> Agency regulations go to the General Assembly for review; if lawmakers do not act within the review window, the regulation takes effect — how the personal-finance graduation requirement became binding without its approval resolution passing.</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Budget proviso (Part IB):</w:t>
      </w:r>
      <w:r>
        <w:rPr>
          <w:rFonts w:ascii="Arial" w:cs="Arial" w:eastAsia="Arial" w:hAnsi="Arial"/>
          <w:color w:val="444444"/>
          <w:sz w:val="20"/>
          <w:szCs w:val="20"/>
          <w:rtl w:val="0"/>
        </w:rPr>
        <w:t xml:space="preserve"> South Carolina's counterpart to other states' budget riders: one-year policy rules enacted inside the annual appropriations act, where the extra homestead exemption, the tax-rate accelerations, the childcare voucher rules, and the Santee Cooper oversight funding in this brief live. Votes are on the whole budget bill, never on one proviso.</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Sponsor / lead sponsor:</w:t>
      </w:r>
      <w:r>
        <w:rPr>
          <w:rFonts w:ascii="Arial" w:cs="Arial" w:eastAsia="Arial" w:hAnsi="Arial"/>
          <w:color w:val="444444"/>
          <w:sz w:val="20"/>
          <w:szCs w:val="20"/>
          <w:rtl w:val="0"/>
        </w:rPr>
        <w:t xml:space="preserve"> The lawmakers who formally introduce a bill; the first member on the official sponsor line is its lead. Party labels appear nowhere in these documents because the roster join was deliberately not fetched.</w:t>
      </w:r>
    </w:p>
    <w:p>
      <w:pPr>
        <w:numPr>
          <w:ilvl w:val="0"/>
          <w:numId w:val="2"/>
        </w:numPr>
        <w:spacing w:after="0" w:afterAutospacing="0" w:line="276" w:lineRule="auto"/>
        <w:ind w:left="720" w:hanging="360"/>
        <w:rPr>
          <w:rFonts w:ascii="Arial" w:cs="Arial" w:eastAsia="Arial" w:hAnsi="Arial"/>
          <w:sz w:val="10"/>
          <w:szCs w:val="10"/>
        </w:rPr>
        <w:sectPr>
          <w:type w:val="continuous"/>
          <w:pgSz w:h="15840" w:w="12240" w:orient="portrait"/>
          <w:pgMar w:bottom="864" w:top="864" w:left="864" w:right="864" w:header="720" w:footer="720"/>
          <w:cols w:equalWidth="0" w:num="2">
            <w:col w:space="240" w:w="5135.999999999999"/>
            <w:col w:space="0" w:w="5135.999999999999"/>
          </w:cols>
        </w:sectPr>
      </w:pPr>
      <w:r>
        <w:rPr>
          <w:rFonts w:ascii="Arial" w:cs="Arial" w:eastAsia="Arial" w:hAnsi="Arial"/>
          <w:b w:val="1"/>
          <w:bCs w:val="1"/>
          <w:color w:val="1a2d4f"/>
          <w:sz w:val="20"/>
          <w:szCs w:val="20"/>
          <w:rtl w:val="0"/>
        </w:rPr>
        <w:t xml:space="preserve">"Died at the session's end":</w:t>
      </w:r>
      <w:r>
        <w:rPr>
          <w:rFonts w:ascii="Arial" w:cs="Arial" w:eastAsia="Arial" w:hAnsi="Arial"/>
          <w:color w:val="444444"/>
          <w:sz w:val="20"/>
          <w:szCs w:val="20"/>
          <w:rtl w:val="0"/>
        </w:rPr>
        <w:t xml:space="preserve"> The bill cleared every vote it faced but ran out of calendar — a timing stop, not a recorded "no."</w:t>
      </w:r>
    </w:p>
    <w:sectPr>
      <w:type w:val="continuous"/>
      <w:pgSz w:h="15840" w:w="12240" w:orient="portrait"/>
      <w:pgMar w:bottom="864" w:top="864" w:left="864" w:right="864"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rPr>
        <w:i w:val="1"/>
        <w:iCs w:val="1"/>
        <w:color w:val="cccccc"/>
      </w:rPr>
    </w:pPr>
    <w:r w:rsidDel="00000000" w:rsidR="00000000" w:rsidRPr="00000000">
      <w:rPr>
        <w:i w:val="1"/>
        <w:iCs w:val="1"/>
        <w:color w:val="cccccc"/>
        <w:rtl w:val="0"/>
      </w:rPr>
      <w:t xml:space="preserve">SC1 Rising Cost of Living Legislative Brief v1.0</w:t>
      <w:tab/>
      <w:tab/>
      <w:tab/>
      <w:tab/>
      <w:tab/>
      <w:tab/>
      <w:tab/>
      <w:tab/>
      <w:tab/>
      <w:tab/>
    </w:r>
    <w:r w:rsidDel="00000000" w:rsidR="00000000" w:rsidRPr="00000000">
      <w:rPr>
        <w:i w:val="1"/>
        <w:iCs w:val="1"/>
        <w:color w:val="cccccc"/>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c0392b"/>
        <w:sz w:val="12"/>
        <w:szCs w:val="1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c0392b"/>
        <w:sz w:val="12"/>
        <w:szCs w:val="1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wUawPZ/GZYDXg+9is0jjCDQJLw==">CgMxLjA4AHIhMTZ3NGM5UDN1RzN1VnB1Wi1valJ6V1JEUlBEaWVNTlhE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