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 w:lineRule="auto" w:line="254"/>
      </w:pPr>
      <w:r>
        <w:rPr>
          <w:rFonts w:ascii="Arial" w:hAnsi="Arial" w:cs="Arial" w:eastAsia="Arial"/>
          <w:b/>
          <w:color w:val="1A2D4F"/>
          <w:sz w:val="20"/>
          <w:spacing w:val="20"/>
        </w:rPr>
        <w:t>T H E   F O R U M</w:t>
      </w:r>
    </w:p>
    <w:p>
      <w:pPr>
        <w:widowControl/>
        <w:spacing w:before="0" w:after="120" w:lineRule="auto" w:line="254"/>
        <w:pBdr>
          <w:bottom w:val="single" w:sz="20" w:space="2" w:color="1A2D4F"/>
        </w:pBdr>
      </w:pPr>
    </w:p>
    <w:p>
      <w:pPr>
        <w:widowControl/>
        <w:spacing w:before="0" w:after="40" w:lineRule="auto" w:line="252"/>
      </w:pPr>
      <w:r>
        <w:rPr>
          <w:rFonts w:ascii="Arial" w:hAnsi="Arial" w:cs="Arial" w:eastAsia="Arial"/>
          <w:b/>
          <w:color w:val="1A2D4F"/>
          <w:sz w:val="36"/>
        </w:rPr>
        <w:t>Housing Affordability in Nevada</w:t>
      </w:r>
    </w:p>
    <w:p>
      <w:pPr>
        <w:widowControl/>
        <w:spacing w:before="0" w:after="120" w:lineRule="auto" w:line="254"/>
      </w:pPr>
      <w:r>
        <w:rPr>
          <w:rFonts w:ascii="Arial" w:hAnsi="Arial" w:cs="Arial" w:eastAsia="Arial"/>
          <w:b w:val="0"/>
          <w:color w:val="444444"/>
          <w:sz w:val="20"/>
        </w:rPr>
        <w:t>The legislative record behind Nevadans' ten most common housing proposals, 2019–2025 — organized by how close each idea has come to becoming law.</w:t>
      </w:r>
    </w:p>
    <w:p>
      <w:pPr>
        <w:widowControl/>
        <w:spacing w:before="84" w:after="36" w:lineRule="auto" w:line="254"/>
      </w:pPr>
      <w:r>
        <w:rPr>
          <w:rFonts w:ascii="Arial" w:hAnsi="Arial" w:cs="Arial" w:eastAsia="Arial"/>
          <w:b/>
          <w:color w:val="C0392B"/>
          <w:sz w:val="25"/>
          <w:spacing w:val="20"/>
        </w:rPr>
        <w:t>WHAT THIS BRIEF COVERS</w:t>
      </w:r>
    </w:p>
    <w:p>
      <w:pPr>
        <w:widowControl/>
        <w:spacing w:before="0" w:after="49" w:lineRule="auto" w:line="247"/>
        <w:jc w:val="both"/>
      </w:pPr>
      <w:r>
        <w:rPr>
          <w:rFonts w:ascii="Arial" w:hAnsi="Arial" w:cs="Arial" w:eastAsia="Arial"/>
          <w:b w:val="0"/>
          <w:color w:val="444444"/>
          <w:sz w:val="20"/>
        </w:rPr>
        <w:t>Nevada's Legislature took up 149 housing bills across its 2019–2025 sessions, and 63 became law — in two clear patterns. Supply and money bills now pass — in 2025 the ADU and by-right density mandates became law, and the $133 million attainable-housing account passed 42–0 in the Assembly. Renter-cost and ownership bills win floor majorities and stop at the last step: the governor's desk since 2023 — and once, in November 2025, one vote short of two-thirds.</w:t>
      </w:r>
    </w:p>
    <w:tbl>
      <w:tblPr>
        <w:tblW w:type="auto" w:w="0"/>
        <w:jc w:val="center"/>
        <w:tblLayout w:type="autofit"/>
        <w:tblLook w:firstColumn="1" w:firstRow="1" w:lastColumn="0" w:lastRow="0" w:noHBand="0" w:noVBand="1" w:val="04A0"/>
      </w:tblPr>
      <w:tblGrid>
        <w:gridCol w:w="2628"/>
        <w:gridCol w:w="2628"/>
        <w:gridCol w:w="2628"/>
        <w:gridCol w:w="2628"/>
      </w:tblGrid>
      <w:tr>
        <w:tc>
          <w:tcPr>
            <w:tcW w:type="dxa" w:w="2628"/>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149</w:t>
            </w:r>
          </w:p>
          <w:p>
            <w:pPr>
              <w:spacing w:after="0" w:line="240" w:lineRule="auto"/>
            </w:pPr>
            <w:r>
              <w:rPr>
                <w:rFonts w:ascii="Arial" w:hAnsi="Arial" w:cs="Arial" w:eastAsia="Arial"/>
                <w:b w:val="0"/>
                <w:color w:val="666666"/>
                <w:sz w:val="20"/>
              </w:rPr>
              <w:t>housing bills, 2019–2025</w:t>
            </w:r>
          </w:p>
        </w:tc>
        <w:tc>
          <w:tcPr>
            <w:tcW w:type="dxa" w:w="2628"/>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63</w:t>
            </w:r>
          </w:p>
          <w:p>
            <w:pPr>
              <w:spacing w:after="0" w:line="240" w:lineRule="auto"/>
            </w:pPr>
            <w:r>
              <w:rPr>
                <w:rFonts w:ascii="Arial" w:hAnsi="Arial" w:cs="Arial" w:eastAsia="Arial"/>
                <w:b w:val="0"/>
                <w:color w:val="666666"/>
                <w:sz w:val="20"/>
              </w:rPr>
              <w:t>became law</w:t>
            </w:r>
          </w:p>
        </w:tc>
        <w:tc>
          <w:tcPr>
            <w:tcW w:type="dxa" w:w="2628"/>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28"/>
              </w:rPr>
              <w:t>1 vote</w:t>
            </w:r>
          </w:p>
          <w:p>
            <w:pPr>
              <w:spacing w:after="0" w:line="240" w:lineRule="auto"/>
            </w:pPr>
            <w:r>
              <w:rPr>
                <w:rFonts w:ascii="Arial" w:hAnsi="Arial" w:cs="Arial" w:eastAsia="Arial"/>
                <w:b w:val="0"/>
                <w:color w:val="666666"/>
                <w:sz w:val="20"/>
              </w:rPr>
              <w:t>margin by which the SB10 corporate cap missed two-thirds</w:t>
            </w:r>
          </w:p>
        </w:tc>
        <w:tc>
          <w:tcPr>
            <w:tcW w:type="dxa" w:w="2628"/>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28"/>
              </w:rPr>
              <w:t>2 of 10</w:t>
            </w:r>
          </w:p>
          <w:p>
            <w:pPr>
              <w:spacing w:after="0" w:line="240" w:lineRule="auto"/>
            </w:pPr>
            <w:r>
              <w:rPr>
                <w:rFonts w:ascii="Arial" w:hAnsi="Arial" w:cs="Arial" w:eastAsia="Arial"/>
                <w:b w:val="0"/>
                <w:color w:val="666666"/>
                <w:sz w:val="20"/>
              </w:rPr>
              <w:t>citizen proposals never filed as a bill</w:t>
            </w:r>
          </w:p>
        </w:tc>
      </w:tr>
    </w:tbl>
    <w:p>
      <w:pPr>
        <w:widowControl/>
        <w:spacing w:before="0" w:after="40" w:lineRule="auto" w:line="254"/>
      </w:pPr>
    </w:p>
    <w:p>
      <w:pPr>
        <w:widowControl/>
        <w:spacing w:before="84" w:after="36" w:lineRule="auto" w:line="254"/>
      </w:pPr>
      <w:r>
        <w:rPr>
          <w:rFonts w:ascii="Arial" w:hAnsi="Arial" w:cs="Arial" w:eastAsia="Arial"/>
          <w:b/>
          <w:color w:val="C0392B"/>
          <w:sz w:val="25"/>
          <w:spacing w:val="20"/>
        </w:rPr>
        <w:t>CLOSEST TO LAW: BILLS THAT PASSED BOTH CHAMBERS</w:t>
      </w:r>
    </w:p>
    <w:p>
      <w:pPr>
        <w:widowControl/>
        <w:spacing w:before="0" w:after="36" w:lineRule="auto" w:line="247"/>
      </w:pPr>
      <w:r>
        <w:rPr>
          <w:rFonts w:ascii="Arial" w:hAnsi="Arial" w:cs="Arial" w:eastAsia="Arial"/>
          <w:b w:val="0"/>
          <w:i/>
          <w:color w:val="666666"/>
          <w:sz w:val="20"/>
        </w:rPr>
        <w:t>These bills passed both houses; a veto, a missing signature, or a two-thirds rule stopped them.</w:t>
      </w:r>
    </w:p>
    <w:p>
      <w:pPr>
        <w:widowControl/>
        <w:spacing w:before="70" w:after="30" w:lineRule="auto" w:line="250"/>
      </w:pPr>
      <w:r>
        <w:rPr>
          <w:rFonts w:ascii="Arial" w:hAnsi="Arial" w:cs="Arial" w:eastAsia="Arial"/>
          <w:b/>
          <w:color w:val="2E4A78"/>
          <w:sz w:val="24"/>
        </w:rPr>
        <w:t>Vetoed at the governor's desk</w:t>
      </w:r>
    </w:p>
    <w:p>
      <w:pPr>
        <w:widowControl/>
        <w:spacing w:before="0" w:after="49" w:lineRule="auto" w:line="247"/>
        <w:jc w:val="both"/>
      </w:pPr>
      <w:r>
        <w:rPr>
          <w:rFonts w:ascii="Arial" w:hAnsi="Arial" w:cs="Arial" w:eastAsia="Arial"/>
          <w:b w:val="0"/>
          <w:color w:val="444444"/>
          <w:sz w:val="20"/>
        </w:rPr>
        <w:t xml:space="preserve">Fifteen of sixteen vetoes fall in 2023 and 2025 — nine in 2023, six in 2025 — nearly all on bills about renter costs and home ownership. </w:t>
      </w:r>
      <w:r>
        <w:rPr>
          <w:rFonts w:ascii="Arial" w:hAnsi="Arial" w:cs="Arial" w:eastAsia="Arial"/>
          <w:b/>
          <w:color w:val="1A2D4F"/>
          <w:sz w:val="20"/>
        </w:rPr>
        <w:t>Limits on corporate ownership:</w:t>
      </w:r>
      <w:r>
        <w:rPr>
          <w:rFonts w:ascii="Arial" w:hAnsi="Arial" w:cs="Arial" w:eastAsia="Arial"/>
          <w:b w:val="0"/>
          <w:color w:val="444444"/>
          <w:sz w:val="20"/>
        </w:rPr>
        <w:t xml:space="preserve"> SB395 (2023) capped corporate and LLC home purchases at 1,000 a year and passed 14–6 and 28–14 — vetoed. </w:t>
      </w:r>
      <w:r>
        <w:rPr>
          <w:rFonts w:ascii="Arial" w:hAnsi="Arial" w:cs="Arial" w:eastAsia="Arial"/>
          <w:b/>
          <w:color w:val="1A2D4F"/>
          <w:sz w:val="20"/>
        </w:rPr>
        <w:t>Rent caps for manufactured-home parks:</w:t>
      </w:r>
      <w:r>
        <w:rPr>
          <w:rFonts w:ascii="Arial" w:hAnsi="Arial" w:cs="Arial" w:eastAsia="Arial"/>
          <w:b w:val="0"/>
          <w:color w:val="444444"/>
          <w:sz w:val="20"/>
        </w:rPr>
        <w:t xml:space="preserve"> SB275 (2023), aimed at seniors on fixed incomes, passed 13–8 and 28–14 — vetoed. </w:t>
      </w:r>
      <w:r>
        <w:rPr>
          <w:rFonts w:ascii="Arial" w:hAnsi="Arial" w:cs="Arial" w:eastAsia="Arial"/>
          <w:b/>
          <w:color w:val="1A2D4F"/>
          <w:sz w:val="20"/>
        </w:rPr>
        <w:t>Local power to require affordable housing:</w:t>
      </w:r>
      <w:r>
        <w:rPr>
          <w:rFonts w:ascii="Arial" w:hAnsi="Arial" w:cs="Arial" w:eastAsia="Arial"/>
          <w:b w:val="0"/>
          <w:color w:val="444444"/>
          <w:sz w:val="20"/>
        </w:rPr>
        <w:t xml:space="preserve"> SB371 (2023), confirming local governments may pass any affordable-housing rule not expressly barred by state law, passed 12–9 and 26–14 — vetoed. </w:t>
      </w:r>
      <w:r>
        <w:rPr>
          <w:rFonts w:ascii="Arial" w:hAnsi="Arial" w:cs="Arial" w:eastAsia="Arial"/>
          <w:b/>
          <w:color w:val="1A2D4F"/>
          <w:sz w:val="20"/>
        </w:rPr>
        <w:t>Fee protections:</w:t>
      </w:r>
      <w:r>
        <w:rPr>
          <w:rFonts w:ascii="Arial" w:hAnsi="Arial" w:cs="Arial" w:eastAsia="Arial"/>
          <w:b w:val="0"/>
          <w:color w:val="444444"/>
          <w:sz w:val="20"/>
        </w:rPr>
        <w:t xml:space="preserve"> application-fee refunds with a plain-language fee list passed 36–6 as AB298 (2023) and again as AB280 (2025) — vetoed both times; the deposits-and-fees bill SB78 (2023) met the same end. AB218, the 2023 all-in pricing bill, was vetoed — then became law as AB121 in 2025: vetoed ideas can return and pass.</w:t>
      </w:r>
    </w:p>
    <w:p>
      <w:pPr>
        <w:widowControl/>
        <w:spacing w:before="70" w:after="30" w:lineRule="auto" w:line="250"/>
      </w:pPr>
      <w:r>
        <w:rPr>
          <w:rFonts w:ascii="Arial" w:hAnsi="Arial" w:cs="Arial" w:eastAsia="Arial"/>
          <w:b/>
          <w:color w:val="2E4A78"/>
          <w:sz w:val="24"/>
        </w:rPr>
        <w:t>Passed both chambers, then stalled at the final step</w:t>
      </w:r>
    </w:p>
    <w:p>
      <w:pPr>
        <w:widowControl/>
        <w:spacing w:before="0" w:after="49" w:lineRule="auto" w:line="247"/>
        <w:jc w:val="both"/>
      </w:pPr>
      <w:r>
        <w:rPr>
          <w:rFonts w:ascii="Arial" w:hAnsi="Arial" w:cs="Arial" w:eastAsia="Arial"/>
          <w:b/>
          <w:color w:val="1A2D4F"/>
          <w:sz w:val="20"/>
        </w:rPr>
        <w:t>Developer linkage fees — SB99 (2025).</w:t>
      </w:r>
      <w:r>
        <w:rPr>
          <w:rFonts w:ascii="Arial" w:hAnsi="Arial" w:cs="Arial" w:eastAsia="Arial"/>
          <w:b w:val="0"/>
          <w:color w:val="444444"/>
          <w:sz w:val="20"/>
        </w:rPr>
        <w:t xml:space="preserve"> Let the two big metros charge home developers a fee dedicated to affordable housing; it passed 14–6 and 27–15, reached the governor on May 27, 2025, and the record ends there: never signed, never law. </w:t>
      </w:r>
      <w:r>
        <w:rPr>
          <w:rFonts w:ascii="Arial" w:hAnsi="Arial" w:cs="Arial" w:eastAsia="Arial"/>
          <w:b/>
          <w:color w:val="1A2D4F"/>
          <w:sz w:val="20"/>
        </w:rPr>
        <w:t>The corporate-purchase cap — SB10 (November 2025 special session).</w:t>
      </w:r>
      <w:r>
        <w:rPr>
          <w:rFonts w:ascii="Arial" w:hAnsi="Arial" w:cs="Arial" w:eastAsia="Arial"/>
          <w:b w:val="0"/>
          <w:color w:val="444444"/>
          <w:sz w:val="20"/>
        </w:rPr>
        <w:t xml:space="preserve"> A 1,000-home cap plus an investor registry passed the Senate 18–0 and won the Assembly 27–10 — one vote short of the required 28, and the strongest showing this idea has made.</w:t>
      </w:r>
    </w:p>
    <w:p>
      <w:pPr>
        <w:widowControl/>
        <w:spacing w:before="84" w:after="36" w:lineRule="auto" w:line="254"/>
      </w:pPr>
      <w:r>
        <w:rPr>
          <w:rFonts w:ascii="Arial" w:hAnsi="Arial" w:cs="Arial" w:eastAsia="Arial"/>
          <w:b/>
          <w:color w:val="C0392B"/>
          <w:sz w:val="25"/>
          <w:spacing w:val="20"/>
        </w:rPr>
        <w:t>PROVEN SUPPORT: CLEARED A CHAMBER OR A COMMITTEE</w:t>
      </w:r>
    </w:p>
    <w:p>
      <w:pPr>
        <w:widowControl/>
        <w:spacing w:before="0" w:after="36" w:lineRule="auto" w:line="247"/>
      </w:pPr>
      <w:r>
        <w:rPr>
          <w:rFonts w:ascii="Arial" w:hAnsi="Arial" w:cs="Arial" w:eastAsia="Arial"/>
          <w:b w:val="0"/>
          <w:i/>
          <w:color w:val="666666"/>
          <w:sz w:val="20"/>
        </w:rPr>
        <w:t>Each bill won a committee or floor majority before stalling.</w:t>
      </w:r>
    </w:p>
    <w:p>
      <w:pPr>
        <w:widowControl/>
        <w:spacing w:before="0" w:after="49" w:lineRule="auto" w:line="247"/>
        <w:jc w:val="both"/>
      </w:pPr>
      <w:r>
        <w:rPr>
          <w:rFonts w:ascii="Arial" w:hAnsi="Arial" w:cs="Arial" w:eastAsia="Arial"/>
          <w:b/>
          <w:color w:val="1A2D4F"/>
          <w:sz w:val="20"/>
        </w:rPr>
        <w:t>Corporate-cap retry — SB391 (2025).</w:t>
      </w:r>
      <w:r>
        <w:rPr>
          <w:rFonts w:ascii="Arial" w:hAnsi="Arial" w:cs="Arial" w:eastAsia="Arial"/>
          <w:b w:val="0"/>
          <w:color w:val="444444"/>
          <w:sz w:val="20"/>
        </w:rPr>
        <w:t xml:space="preserve"> Cut the cap to 100 homes a year; passed the Senate 13–8 and died in the Assembly.</w:t>
      </w:r>
    </w:p>
    <w:p>
      <w:pPr>
        <w:widowControl/>
        <w:spacing w:before="0" w:after="49" w:lineRule="auto" w:line="247"/>
        <w:jc w:val="both"/>
      </w:pPr>
      <w:r>
        <w:rPr>
          <w:rFonts w:ascii="Arial" w:hAnsi="Arial" w:cs="Arial" w:eastAsia="Arial"/>
          <w:b/>
          <w:color w:val="1A2D4F"/>
          <w:sz w:val="20"/>
        </w:rPr>
        <w:t>First-home rate buy-down — SB193 (2025).</w:t>
      </w:r>
      <w:r>
        <w:rPr>
          <w:rFonts w:ascii="Arial" w:hAnsi="Arial" w:cs="Arial" w:eastAsia="Arial"/>
          <w:b w:val="0"/>
          <w:color w:val="444444"/>
          <w:sz w:val="20"/>
        </w:rPr>
        <w:t xml:space="preserve"> Ordered a state pilot lowering mortgage rates for eligible first-home borrowers; passed the Senate 14–5 and died in the Assembly. Existing buyer programs run through the Housing Division's bond authority, not statute.</w:t>
      </w:r>
    </w:p>
    <w:p>
      <w:pPr>
        <w:widowControl/>
        <w:spacing w:before="0" w:after="49" w:lineRule="auto" w:line="247"/>
        <w:jc w:val="both"/>
      </w:pPr>
      <w:r>
        <w:rPr>
          <w:rFonts w:ascii="Arial" w:hAnsi="Arial" w:cs="Arial" w:eastAsia="Arial"/>
          <w:b/>
          <w:color w:val="1A2D4F"/>
          <w:sz w:val="20"/>
        </w:rPr>
        <w:t>Housing Liaison — 2025.</w:t>
      </w:r>
      <w:r>
        <w:rPr>
          <w:rFonts w:ascii="Arial" w:hAnsi="Arial" w:cs="Arial" w:eastAsia="Arial"/>
          <w:b w:val="0"/>
          <w:color w:val="444444"/>
          <w:sz w:val="20"/>
        </w:rPr>
        <w:t xml:space="preserve"> Upgrading the Housing Division's Housing Advocate into a Housing Liaison passed the Assembly 42–0 and died in the Senate at the deadline; the ADU property-tax break for voucher-holder units died the same way in 2025, after a 42–0 Assembly vote, having failed in 2023. Unanimous Assembly support twice shows broad backing; the bills simply never got a Senate vote.</w:t>
      </w:r>
    </w:p>
    <w:p>
      <w:pPr>
        <w:widowControl/>
        <w:spacing w:before="84" w:after="36" w:lineRule="auto" w:line="254"/>
      </w:pPr>
      <w:r>
        <w:rPr>
          <w:rFonts w:ascii="Arial" w:hAnsi="Arial" w:cs="Arial" w:eastAsia="Arial"/>
          <w:b/>
          <w:color w:val="C0392B"/>
          <w:sz w:val="25"/>
          <w:spacing w:val="20"/>
        </w:rPr>
        <w:t>ALREADY LAW — AND THE OPENINGS AROUND IT</w:t>
      </w:r>
    </w:p>
    <w:p>
      <w:pPr>
        <w:widowControl/>
        <w:spacing w:before="0" w:after="36" w:lineRule="auto" w:line="247"/>
      </w:pPr>
      <w:r>
        <w:rPr>
          <w:rFonts w:ascii="Arial" w:hAnsi="Arial" w:cs="Arial" w:eastAsia="Arial"/>
          <w:b w:val="0"/>
          <w:i/>
          <w:color w:val="666666"/>
          <w:sz w:val="20"/>
        </w:rPr>
        <w:t>New law settles some ground — and shows where the Legislature keeps building.</w:t>
      </w:r>
    </w:p>
    <w:p>
      <w:pPr>
        <w:widowControl/>
        <w:spacing w:before="70" w:after="30" w:lineRule="auto" w:line="250"/>
      </w:pPr>
      <w:r>
        <w:rPr>
          <w:rFonts w:ascii="Arial" w:hAnsi="Arial" w:cs="Arial" w:eastAsia="Arial"/>
          <w:b/>
          <w:color w:val="2E4A78"/>
          <w:sz w:val="24"/>
        </w:rPr>
        <w:t>New laws from the 2025 session</w:t>
      </w:r>
    </w:p>
    <w:p>
      <w:pPr>
        <w:widowControl/>
        <w:spacing w:before="0" w:after="49" w:lineRule="auto" w:line="247"/>
        <w:jc w:val="both"/>
      </w:pPr>
      <w:r>
        <w:rPr>
          <w:rFonts w:ascii="Arial" w:hAnsi="Arial" w:cs="Arial" w:eastAsia="Arial"/>
          <w:b w:val="0"/>
          <w:color w:val="444444"/>
          <w:sz w:val="20"/>
        </w:rPr>
        <w:t>AB540 created the $133 million Nevada Attainable Housing Account, 42–0 in the Assembly. AB396 requires Clark, Washoe, and the five largest cities to allow accessory dwelling units; AB241 requires apartments and mixed-use housing by right on commercial land — laws like these did not exist in Nevada before 2025. AB121 made advertised rent an all-in figure with fee disclosure. AB211 lets cities force repairs at neglected apartment properties, 41–0. AB475 funded eviction diversion in Clark County, Reno, and rural Nevada, 42–0 and 19–1. AB457 launched the study of corporate rental-owner taxation, reporting for 2027, and the special session revised the Windsor Park relocation act (SB6). Bills restating these would duplicate just-completed work and are unlikely to advance.</w:t>
      </w:r>
    </w:p>
    <w:p>
      <w:pPr>
        <w:widowControl/>
        <w:spacing w:before="70" w:after="30" w:lineRule="auto" w:line="250"/>
      </w:pPr>
      <w:r>
        <w:rPr>
          <w:rFonts w:ascii="Arial" w:hAnsi="Arial" w:cs="Arial" w:eastAsia="Arial"/>
          <w:b/>
          <w:color w:val="2E4A78"/>
          <w:sz w:val="24"/>
        </w:rPr>
        <w:t>Where lawmakers appear willing to go further</w:t>
      </w:r>
    </w:p>
    <w:p>
      <w:pPr>
        <w:widowControl/>
        <w:spacing w:before="0" w:after="49" w:lineRule="auto" w:line="247"/>
        <w:jc w:val="both"/>
      </w:pPr>
      <w:r>
        <w:rPr>
          <w:rFonts w:ascii="Arial" w:hAnsi="Arial" w:cs="Arial" w:eastAsia="Arial"/>
          <w:b w:val="0"/>
          <w:color w:val="444444"/>
          <w:sz w:val="20"/>
        </w:rPr>
        <w:t>Fee-transparency laws are the Legislature's most consistent housing achievement, each new law building on the last: the 5 percent late-fee cap (SB151, 2019), the three-day grace period (AB308, 2021), the unanimous ban on charging tenants for the landlord's own repairs (SB381, 2023), and all-in pricing (AB121, 2025); application-fee refunds, still unfinished, passed twice and were vetoed twice. On supply, SB150 (2021) legalized tiny houses in some zones and AB38 (2025) modernized the factory-built housing code, 40–2 and 17–3; the incentive side — SB430 (2025), tax credits for builders of at-cost starter homes — died in committee without a vote, untested rather than rejected. A builders–citizens–legislators working group already exists in law: AB476 (2019), carried by a cross-party team, recreated the Advisory Committee on Housing (annual needs report, one bill draft per session), 38–2 and 20–0; study bills remain the most reliably enacted housing bills. SB188 (2021) created donor-funded matched-savings accounts toward a first home after the same idea died in 2019.</w:t>
      </w:r>
    </w:p>
    <w:p>
      <w:pPr>
        <w:widowControl/>
        <w:spacing w:before="84" w:after="36" w:lineRule="auto" w:line="254"/>
      </w:pPr>
      <w:r>
        <w:rPr>
          <w:rFonts w:ascii="Arial" w:hAnsi="Arial" w:cs="Arial" w:eastAsia="Arial"/>
          <w:b/>
          <w:color w:val="C0392B"/>
          <w:sz w:val="25"/>
          <w:spacing w:val="20"/>
        </w:rPr>
        <w:t>LITTLE TRACTION YET: NEVER FILED OR STOPPED EARLY</w:t>
      </w:r>
    </w:p>
    <w:p>
      <w:pPr>
        <w:widowControl/>
        <w:spacing w:before="0" w:after="36" w:lineRule="auto" w:line="247"/>
      </w:pPr>
      <w:r>
        <w:rPr>
          <w:rFonts w:ascii="Arial" w:hAnsi="Arial" w:cs="Arial" w:eastAsia="Arial"/>
          <w:b w:val="0"/>
          <w:i/>
          <w:color w:val="666666"/>
          <w:sz w:val="20"/>
        </w:rPr>
        <w:t>No votes yet: two of the ten citizen proposals were never filed; the rest stopped early.</w:t>
      </w:r>
    </w:p>
    <w:p>
      <w:pPr>
        <w:widowControl/>
        <w:spacing w:before="0" w:after="49" w:lineRule="auto" w:line="247"/>
        <w:jc w:val="both"/>
      </w:pPr>
      <w:r>
        <w:rPr>
          <w:rFonts w:ascii="Arial" w:hAnsi="Arial" w:cs="Arial" w:eastAsia="Arial"/>
          <w:b/>
          <w:color w:val="1A2D4F"/>
          <w:sz w:val="20"/>
        </w:rPr>
        <w:t>Inclusionary requirements.</w:t>
      </w:r>
      <w:r>
        <w:rPr>
          <w:rFonts w:ascii="Arial" w:hAnsi="Arial" w:cs="Arial" w:eastAsia="Arial"/>
          <w:b w:val="0"/>
          <w:color w:val="444444"/>
          <w:sz w:val="20"/>
        </w:rPr>
        <w:t xml:space="preserve"> No bill has ever required developments to include a share of affordable units. Every filed bill sits one step away — local authority to require it (SB371, vetoed; the 2025 retry SB289 died in Senate Government Affairs); the pay-instead-of-build funds (AB331, AB334, 2021) died in their first committee.</w:t>
      </w:r>
    </w:p>
    <w:p>
      <w:pPr>
        <w:widowControl/>
        <w:spacing w:before="0" w:after="49" w:lineRule="auto" w:line="247"/>
        <w:jc w:val="both"/>
      </w:pPr>
      <w:r>
        <w:rPr>
          <w:rFonts w:ascii="Arial" w:hAnsi="Arial" w:cs="Arial" w:eastAsia="Arial"/>
          <w:b/>
          <w:color w:val="1A2D4F"/>
          <w:sz w:val="20"/>
        </w:rPr>
        <w:t>Loan forgiveness and homebuying help for high-demand professions.</w:t>
      </w:r>
      <w:r>
        <w:rPr>
          <w:rFonts w:ascii="Arial" w:hAnsi="Arial" w:cs="Arial" w:eastAsia="Arial"/>
          <w:b w:val="0"/>
          <w:color w:val="444444"/>
          <w:sz w:val="20"/>
        </w:rPr>
        <w:t xml:space="preserve"> Never filed. The model is already in law — the health-provider loan-repayment program, expanded twice in 2025 (AB269, SB266) — and the closest attempts stopped short: SB47 (2023), letting school districts house their own staff, died on the Senate floor; the 2025 buy-down pilot selects by income, not profession.</w:t>
      </w:r>
    </w:p>
    <w:p>
      <w:pPr>
        <w:widowControl/>
        <w:spacing w:before="0" w:after="49" w:lineRule="auto" w:line="247"/>
        <w:jc w:val="both"/>
      </w:pPr>
      <w:r>
        <w:rPr>
          <w:rFonts w:ascii="Arial" w:hAnsi="Arial" w:cs="Arial" w:eastAsia="Arial"/>
          <w:b/>
          <w:color w:val="1A2D4F"/>
          <w:sz w:val="20"/>
        </w:rPr>
        <w:t>Rent caps and their mirror image.</w:t>
      </w:r>
      <w:r>
        <w:rPr>
          <w:rFonts w:ascii="Arial" w:hAnsi="Arial" w:cs="Arial" w:eastAsia="Arial"/>
          <w:b w:val="0"/>
          <w:color w:val="444444"/>
          <w:sz w:val="20"/>
        </w:rPr>
        <w:t xml:space="preserve"> The general cap died twice in 2023 without an Assembly floor vote (AB362 in committee, SB426 on the Senate floor); the 2025 manufactured-home retry and the bills banning local rent control (SB123, AB443, 2025) all died in their first committees. Nevada law neither caps rents nor stops cities from trying; the one cap that passed, SB275, was vetoed.</w:t>
      </w:r>
    </w:p>
    <w:p>
      <w:pPr>
        <w:widowControl/>
        <w:spacing w:before="0" w:after="49" w:lineRule="auto" w:line="247"/>
        <w:jc w:val="both"/>
      </w:pPr>
      <w:r>
        <w:rPr>
          <w:rFonts w:ascii="Arial" w:hAnsi="Arial" w:cs="Arial" w:eastAsia="Arial"/>
          <w:b/>
          <w:color w:val="1A2D4F"/>
          <w:sz w:val="20"/>
        </w:rPr>
        <w:t>Registries and impact fees.</w:t>
      </w:r>
      <w:r>
        <w:rPr>
          <w:rFonts w:ascii="Arial" w:hAnsi="Arial" w:cs="Arial" w:eastAsia="Arial"/>
          <w:b w:val="0"/>
          <w:color w:val="444444"/>
          <w:sz w:val="20"/>
        </w:rPr>
        <w:t xml:space="preserve"> Statewide landlord registries died in first committee in 2021 and 2025; school impact fees (SB471, 2019) and developer in-lieu funds (2021) died in Government Affairs. The one law in this space runs the other way: SB103 (2019) lets local governments reduce fees for affordable-housing projects.</w:t>
      </w:r>
    </w:p>
    <w:p>
      <w:pPr>
        <w:widowControl/>
        <w:spacing w:before="84" w:after="36" w:lineRule="auto" w:line="254"/>
      </w:pPr>
      <w:r>
        <w:rPr>
          <w:rFonts w:ascii="Arial" w:hAnsi="Arial" w:cs="Arial" w:eastAsia="Arial"/>
          <w:b/>
          <w:color w:val="C0392B"/>
          <w:sz w:val="25"/>
          <w:spacing w:val="20"/>
        </w:rPr>
        <w:t>WHERE THERE IS MOVEMENT — AND WHERE THERE IS NONE</w:t>
      </w:r>
    </w:p>
    <w:p>
      <w:pPr>
        <w:widowControl/>
        <w:spacing w:before="0" w:after="49" w:lineRule="auto" w:line="247"/>
        <w:jc w:val="both"/>
      </w:pPr>
      <w:r>
        <w:rPr>
          <w:rFonts w:ascii="Arial" w:hAnsi="Arial" w:cs="Arial" w:eastAsia="Arial"/>
          <w:b/>
          <w:color w:val="1A2D4F"/>
          <w:sz w:val="20"/>
        </w:rPr>
        <w:t>Moving:</w:t>
      </w:r>
      <w:r>
        <w:rPr>
          <w:rFonts w:ascii="Arial" w:hAnsi="Arial" w:cs="Arial" w:eastAsia="Arial"/>
          <w:b w:val="0"/>
          <w:color w:val="444444"/>
          <w:sz w:val="20"/>
        </w:rPr>
        <w:t xml:space="preserve"> supply and money (mandates plus a $133 million account in 2025); fee transparency (a new law almost every session since 2019); corporate-ownership limits (majorities in both chambers in 2023, the Senate in 2025, a one-vote special-session miss, a 2027 study — the most movement of any unfinished idea). </w:t>
      </w:r>
      <w:r>
        <w:rPr>
          <w:rFonts w:ascii="Arial" w:hAnsi="Arial" w:cs="Arial" w:eastAsia="Arial"/>
          <w:b/>
          <w:color w:val="1A2D4F"/>
          <w:sz w:val="20"/>
        </w:rPr>
        <w:t>Not moving:</w:t>
      </w:r>
      <w:r>
        <w:rPr>
          <w:rFonts w:ascii="Arial" w:hAnsi="Arial" w:cs="Arial" w:eastAsia="Arial"/>
          <w:b w:val="0"/>
          <w:color w:val="444444"/>
          <w:sz w:val="20"/>
        </w:rPr>
        <w:t xml:space="preserve"> rent caps (the cap and the cap-ban both die early); inclusionary mandates and profession-based homebuyer help (never filed); landlord registries and impact fees (repeated first-committee deaths).</w:t>
      </w:r>
    </w:p>
    <w:p>
      <w:pPr>
        <w:widowControl/>
        <w:spacing w:before="0" w:after="49" w:lineRule="auto" w:line="247"/>
        <w:jc w:val="both"/>
      </w:pPr>
      <w:r>
        <w:rPr>
          <w:rFonts w:ascii="Arial" w:hAnsi="Arial" w:cs="Arial" w:eastAsia="Arial"/>
          <w:b/>
          <w:color w:val="1A2D4F"/>
          <w:sz w:val="20"/>
        </w:rPr>
        <w:t>Where bills stop, and who sponsors them.</w:t>
      </w:r>
      <w:r>
        <w:rPr>
          <w:rFonts w:ascii="Arial" w:hAnsi="Arial" w:cs="Arial" w:eastAsia="Arial"/>
          <w:b w:val="0"/>
          <w:color w:val="444444"/>
          <w:sz w:val="20"/>
        </w:rPr>
        <w:t xml:space="preserve"> Rent and landlord-tenant bills die first in Commerce and Labor (11 first-committee stops); local-power, fee, and registry bills in Government Affairs (14). Cross-party teams appeared on only 16 policy bills — 13 became law, the best odds in the record. Senator Julia Ratti (D), who wrote the 2019 wave of renter-protection laws, has left; Senator Dina Neal (D), who sponsors the corporate-cap bills, still serves. Since 2023, the governor's signature or veto has decided these bills.</w:t>
      </w:r>
    </w:p>
    <w:p>
      <w:pPr>
        <w:widowControl/>
        <w:spacing w:before="84" w:after="36" w:lineRule="auto" w:line="254"/>
      </w:pPr>
      <w:r>
        <w:rPr>
          <w:rFonts w:ascii="Arial" w:hAnsi="Arial" w:cs="Arial" w:eastAsia="Arial"/>
          <w:b/>
          <w:color w:val="C0392B"/>
          <w:sz w:val="25"/>
          <w:spacing w:val="20"/>
        </w:rPr>
        <w:t>FEDERAL OVERLAP: WHAT WASHINGTON ALREADY COVERS</w:t>
      </w:r>
    </w:p>
    <w:p>
      <w:pPr>
        <w:widowControl/>
        <w:spacing w:before="0" w:after="36" w:lineRule="auto" w:line="247"/>
      </w:pPr>
      <w:r>
        <w:rPr>
          <w:rFonts w:ascii="Arial" w:hAnsi="Arial" w:cs="Arial" w:eastAsia="Arial"/>
          <w:b w:val="0"/>
          <w:i/>
          <w:color w:val="666666"/>
          <w:sz w:val="20"/>
        </w:rPr>
        <w:t>Where federal action already covers ground — and where the state route is the only one.</w:t>
      </w:r>
    </w:p>
    <w:p>
      <w:pPr>
        <w:widowControl/>
        <w:spacing w:before="0" w:after="49" w:lineRule="auto" w:line="247"/>
        <w:jc w:val="both"/>
      </w:pPr>
      <w:r>
        <w:rPr>
          <w:rFonts w:ascii="Arial" w:hAnsi="Arial" w:cs="Arial" w:eastAsia="Arial"/>
          <w:b w:val="0"/>
          <w:color w:val="444444"/>
          <w:sz w:val="20"/>
        </w:rPr>
        <w:t>No federal law caps rents or limits corporate home purchases — congressional proposals to curb hedge-fund ownership were introduced, not passed — so Nevada's corporate-cap and rent bills do not duplicate any federal law. Federal supply money runs through the Low-Income Housing Tax Credit and HUD block grants; AB540 adds to rather than repeats them. FHA and VA loans serve first-time buyers, but federal down-payment tax credits have not passed, so state pilots like SB193 would not duplicate a federal program. The 2024 federal junk-fee rule covers hotels and tickets, not rental housing — AB121 and the vetoed refund bills are the only all-in-pricing rules for Nevada renters.</w:t>
      </w:r>
    </w:p>
    <w:p>
      <w:pPr>
        <w:widowControl/>
        <w:spacing w:before="40" w:after="0" w:lineRule="auto" w:line="254"/>
        <w:pBdr>
          <w:top w:val="single" w:sz="6" w:space="4" w:color="C8CDD6"/>
        </w:pBdr>
      </w:pPr>
      <w:r>
        <w:rPr>
          <w:rFonts w:ascii="Arial" w:hAnsi="Arial" w:cs="Arial" w:eastAsia="Arial"/>
          <w:b w:val="0"/>
          <w:color w:val="666666"/>
          <w:sz w:val="20"/>
          <w:spacing w:val="4"/>
        </w:rPr>
        <w:t>Full detail, votes, sponsors, and sources: Appendices A–I.</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