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Proposal Spotlights — Housing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close look at the legislative record behind each proposal the working group short-listed, with committee paths, party breakdowns, and sponsor detail beyond what the citizen brief (v3.0) carries.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LIMITING CORPORATE OWNERSHIP OF HOUSING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limit corporate and institutional ownership of housing.</w:t>
      </w:r>
    </w:p>
    <w:p>
      <w:pPr>
        <w:keepLines/>
        <w:widowControl/>
        <w:spacing w:before="0" w:after="90" w:lineRule="auto" w:line="276"/>
      </w:pPr>
      <w:r>
        <w:rPr>
          <w:rFonts w:ascii="Arial" w:hAnsi="Arial" w:cs="Arial" w:eastAsia="Arial"/>
          <w:b/>
          <w:color w:val="1A2D4F"/>
          <w:sz w:val="20"/>
        </w:rPr>
        <w:t>Support has grown every time it was tested — and the two-thirds rule, not the cap, decided the last vote.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SB395 (2023), a 1,000-home annual cap, passed 14–6 (one Republican joining) and 28–14, and was vetoed; SB391 (2025), a 100-home cap, passed the Senate 13–8 and died in the Assembly. In the November 2025 special session, SB10 — the cap plus an investor registry — passed the Senate 18–0, every senator of both parties, and won the Assembly 27–10; its registry fees made it a revenue measure needing 28 votes. A cap without fees would need only a simple majority — and the governor's signature. AB457's corporate-landlord tax study reports for 2027, and Senator Dina Neal (D), the idea's most consistent sponsor, still serves.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ZONING REFORM AND SMALLER, DENSER HOMES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increase housing supply, reform zoning, and build more, smaller, denser homes.</w:t>
      </w:r>
    </w:p>
    <w:p>
      <w:pPr>
        <w:keepLines/>
        <w:widowControl/>
        <w:spacing w:before="0" w:after="90" w:lineRule="auto" w:line="276"/>
      </w:pPr>
      <w:r>
        <w:rPr>
          <w:rFonts w:ascii="Arial" w:hAnsi="Arial" w:cs="Arial" w:eastAsia="Arial"/>
          <w:b/>
          <w:color w:val="1A2D4F"/>
          <w:sz w:val="20"/>
        </w:rPr>
        <w:t>Requirements passed on party-line votes; building-code updates passed with both parties; incentives remain untested.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2025 mandates became law narrowly — AB396 (accessory dwelling units) 27–15 and 14–7, AB241 (apartments by right on commercial land) 28–14 and 15–6, one Republican vote in most chambers — while the building-code updates drew both parties: AB38 (2025) rewrote the factory-built housing code 40–2 and 17–3, and SB150 (2021) legalized tiny houses in some zones. The incentive side, SB430 (2025) — tax credits for at-cost starter homes with investor-resale protections — died in Senate Revenue without a vote; no committee has yet voted on a small-home incentive.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AFFORDABLE-HOUSING SHARES AND IN-LIEU FUNDS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require developers to build a share of affordable housing or pay into a fund.</w:t>
      </w:r>
    </w:p>
    <w:p>
      <w:pPr>
        <w:keepLines/>
        <w:widowControl/>
        <w:spacing w:before="0" w:after="90" w:lineRule="auto" w:line="276"/>
      </w:pPr>
      <w:r>
        <w:rPr>
          <w:rFonts w:ascii="Arial" w:hAnsi="Arial" w:cs="Arial" w:eastAsia="Arial"/>
          <w:b/>
          <w:color w:val="1A2D4F"/>
          <w:sz w:val="20"/>
        </w:rPr>
        <w:t>The requirement itself has never been filed; every related bill stopped in a Government Affairs committee or at the governor's desk.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Local authority to impose such conditions passed both chambers (SB371, 2023, 12–9 and 26–14) and was vetoed; the 2025 retry, SB289, died in Senate Government Affairs. The fund version reached the desk as SB99 (2025), the metro linkage fee, 14–6 and 27–15 — delivered to the governor on May 27, 2025, and never signed into law. In-lieu funds (AB331, AB334, 2021) and school impact fees (SB471, 2019) died in Government Affairs. The one enacted bill runs the other way: SB103 (2019) lets local governments reduce fees for affordable projects.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DOWN-PAYMENT HELP FOR FIRST-TIME BUYERS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Working-group proposal: down-payment assistance and first-time buyer incentives.</w:t>
      </w:r>
    </w:p>
    <w:p>
      <w:pPr>
        <w:keepLines/>
        <w:widowControl/>
        <w:spacing w:before="0" w:after="90" w:lineRule="auto" w:line="276"/>
      </w:pPr>
      <w:r>
        <w:rPr>
          <w:rFonts w:ascii="Arial" w:hAnsi="Arial" w:cs="Arial" w:eastAsia="Arial"/>
          <w:b/>
          <w:color w:val="1A2D4F"/>
          <w:sz w:val="20"/>
        </w:rPr>
        <w:t>The one housing idea with real two-party Senate support — and an Assembly that has never voted on it.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SB193 (2025), the state rate buy-down pilot for first-home borrowers, passed the Senate 14–5 with three Republicans and died in the Assembly without a vote. The enacted precedent, SB188 (2021), created donor-matched savings accounts toward a first home after the same idea failed in 2019. Standing buyer programs run through the Housing Division's bond authority, not statute; federally, FHA and VA loans lower down-payment barriers while proposed federal down-payment credits remain unenacted — a state program supplements rather than duplicates.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to the citizen brief v3.0; proposals from the working-group rubric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