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 w:lineRule="auto" w:line="254"/>
      </w:pPr>
      <w:r>
        <w:rPr>
          <w:rFonts w:ascii="Arial" w:hAnsi="Arial" w:cs="Arial" w:eastAsia="Arial"/>
          <w:b/>
          <w:color w:val="1A2D4F"/>
          <w:sz w:val="20"/>
          <w:spacing w:val="20"/>
        </w:rPr>
        <w:t>T H E   F O R U M</w:t>
      </w:r>
    </w:p>
    <w:p>
      <w:pPr>
        <w:widowControl/>
        <w:spacing w:before="0" w:after="120" w:lineRule="auto" w:line="254"/>
        <w:pBdr>
          <w:bottom w:val="single" w:sz="20" w:space="2" w:color="1A2D4F"/>
        </w:pBdr>
      </w:pPr>
    </w:p>
    <w:p>
      <w:pPr>
        <w:widowControl/>
        <w:spacing w:before="0" w:after="40" w:lineRule="auto" w:line="252"/>
      </w:pPr>
      <w:r>
        <w:rPr>
          <w:rFonts w:ascii="Arial" w:hAnsi="Arial" w:cs="Arial" w:eastAsia="Arial"/>
          <w:b/>
          <w:color w:val="1A2D4F"/>
          <w:sz w:val="36"/>
        </w:rPr>
        <w:t>Housing Affordability in New Hampshire</w:t>
      </w:r>
    </w:p>
    <w:p>
      <w:pPr>
        <w:widowControl/>
        <w:spacing w:before="0" w:after="120" w:lineRule="auto" w:line="254"/>
      </w:pPr>
      <w:r>
        <w:rPr>
          <w:rFonts w:ascii="Arial" w:hAnsi="Arial" w:cs="Arial" w:eastAsia="Arial"/>
          <w:b w:val="0"/>
          <w:color w:val="444444"/>
          <w:sz w:val="20"/>
        </w:rPr>
        <w:t>The legislative record behind New Hampshire's housing debate, 2020–2026.</w:t>
      </w:r>
    </w:p>
    <w:p>
      <w:pPr>
        <w:widowControl/>
        <w:spacing w:before="84" w:after="36" w:lineRule="auto" w:line="254"/>
      </w:pPr>
      <w:r>
        <w:rPr>
          <w:rFonts w:ascii="Arial" w:hAnsi="Arial" w:cs="Arial" w:eastAsia="Arial"/>
          <w:b/>
          <w:color w:val="C0392B"/>
          <w:sz w:val="25"/>
          <w:spacing w:val="20"/>
        </w:rPr>
        <w:t>THE LEGISLATIVE LANDSCAPE</w:t>
      </w:r>
    </w:p>
    <w:p>
      <w:pPr>
        <w:widowControl/>
        <w:spacing w:before="0" w:after="49" w:lineRule="auto" w:line="247"/>
        <w:jc w:val="both"/>
      </w:pPr>
      <w:r>
        <w:rPr>
          <w:rFonts w:ascii="Arial" w:hAnsi="Arial" w:cs="Arial" w:eastAsia="Arial"/>
          <w:b w:val="0"/>
          <w:color w:val="444444"/>
          <w:sz w:val="20"/>
        </w:rPr>
        <w:t>New Hampshire's General Court took up 135 housing bills across the 2020–2026 sessions in this record; 30 became law, one of them by riding the state budget. The record splits sharply by subject. Bills that let more homes be built — in commercial zones, as accessory dwelling units, as tiny houses — started passing in 2025 with cross-party votes after years of Senate deaths. Bills that touch the cost of renting — fee limits, rent registries, voucher protections, notice requirements — have died in the House in every session, most before reaching the Senate at all. The money runs on a third track: standalone housing-funding bills die even after unanimous Senate votes, while the same dollars pass every two years inside HB2, the budget trailer. The 2025–2026 biennium produced 101 of the 135 bills and 22 of the 30 new laws — and also 67 kills and 11 interim studies.</w:t>
      </w:r>
    </w:p>
    <w:p>
      <w:pPr>
        <w:widowControl/>
        <w:spacing w:before="84" w:after="36" w:lineRule="auto" w:line="254"/>
      </w:pPr>
      <w:r>
        <w:rPr>
          <w:rFonts w:ascii="Arial" w:hAnsi="Arial" w:cs="Arial" w:eastAsia="Arial"/>
          <w:b/>
          <w:color w:val="C0392B"/>
          <w:sz w:val="25"/>
          <w:spacing w:val="20"/>
        </w:rPr>
        <w:t>KEY NUMBERS</w:t>
      </w:r>
    </w:p>
    <w:tbl>
      <w:tblPr>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135</w:t>
            </w:r>
          </w:p>
          <w:p>
            <w:pPr>
              <w:spacing w:after="0" w:line="240" w:lineRule="auto"/>
            </w:pPr>
            <w:r>
              <w:rPr>
                <w:rFonts w:ascii="Arial" w:hAnsi="Arial" w:cs="Arial" w:eastAsia="Arial"/>
                <w:b w:val="0"/>
                <w:color w:val="666666"/>
                <w:sz w:val="20"/>
              </w:rPr>
              <w:t>housing bills, 2020–2026</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30</w:t>
            </w:r>
          </w:p>
          <w:p>
            <w:pPr>
              <w:spacing w:after="0" w:line="240" w:lineRule="auto"/>
            </w:pPr>
            <w:r>
              <w:rPr>
                <w:rFonts w:ascii="Arial" w:hAnsi="Arial" w:cs="Arial" w:eastAsia="Arial"/>
                <w:b w:val="0"/>
                <w:color w:val="666666"/>
                <w:sz w:val="20"/>
              </w:rPr>
              <w:t>became law — 22 of them in the 2025–2026 biennium</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8"/>
              </w:rPr>
              <w:t>1 vote</w:t>
            </w:r>
          </w:p>
          <w:p>
            <w:pPr>
              <w:spacing w:after="0" w:line="240" w:lineRule="auto"/>
            </w:pPr>
            <w:r>
              <w:rPr>
                <w:rFonts w:ascii="Arial" w:hAnsi="Arial" w:cs="Arial" w:eastAsia="Arial"/>
                <w:b w:val="0"/>
                <w:color w:val="666666"/>
                <w:sz w:val="20"/>
              </w:rPr>
              <w:t>the margin by which the House passed the 2025 budget trailer (184–183) carrying the biggest housing programs</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8"/>
              </w:rPr>
              <w:t>3 of 3</w:t>
            </w:r>
          </w:p>
          <w:p>
            <w:pPr>
              <w:spacing w:after="0" w:line="240" w:lineRule="auto"/>
            </w:pPr>
            <w:r>
              <w:rPr>
                <w:rFonts w:ascii="Arial" w:hAnsi="Arial" w:cs="Arial" w:eastAsia="Arial"/>
                <w:b w:val="0"/>
                <w:color w:val="666666"/>
                <w:sz w:val="20"/>
              </w:rPr>
              <w:t>attempts to ban housing-voucher discrimination died in the House</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22</w:t>
            </w:r>
          </w:p>
          <w:p>
            <w:pPr>
              <w:spacing w:after="0" w:line="240" w:lineRule="auto"/>
            </w:pPr>
            <w:r>
              <w:rPr>
                <w:rFonts w:ascii="Arial" w:hAnsi="Arial" w:cs="Arial" w:eastAsia="Arial"/>
                <w:b w:val="0"/>
                <w:color w:val="666666"/>
                <w:sz w:val="20"/>
              </w:rPr>
              <w:t>housing sections enacted inside the last three budget trailers (HB2)</w:t>
            </w:r>
          </w:p>
        </w:tc>
      </w:tr>
    </w:tbl>
    <w:p>
      <w:pPr>
        <w:widowControl/>
        <w:spacing w:before="0" w:after="40" w:lineRule="auto" w:line="254"/>
      </w:pPr>
    </w:p>
    <w:p>
      <w:pPr>
        <w:widowControl/>
        <w:spacing w:before="84" w:after="36" w:lineRule="auto" w:line="254"/>
      </w:pPr>
      <w:r>
        <w:rPr>
          <w:rFonts w:ascii="Arial" w:hAnsi="Arial" w:cs="Arial" w:eastAsia="Arial"/>
          <w:b/>
          <w:color w:val="C0392B"/>
          <w:sz w:val="25"/>
          <w:spacing w:val="20"/>
        </w:rPr>
        <w:t>ALSO IN THE BUDGET BILL (HB2)</w:t>
      </w:r>
    </w:p>
    <w:p>
      <w:pPr>
        <w:widowControl/>
        <w:spacing w:before="0" w:after="49" w:lineRule="auto" w:line="247"/>
        <w:jc w:val="both"/>
      </w:pPr>
      <w:r>
        <w:rPr>
          <w:rFonts w:ascii="Arial" w:hAnsi="Arial" w:cs="Arial" w:eastAsia="Arial"/>
          <w:b w:val="0"/>
          <w:color w:val="444444"/>
          <w:sz w:val="20"/>
        </w:rPr>
        <w:t>Much of New Hampshire's housing law is made inside HB2, the omnibus policy bill that rides with each two-year budget. The last three trailers carried 22 core housing sections: $25 million for the Affordable Housing Fund in 2021 and again in 2023; the InvestNH and Housing Champion programs (2023, $5 million plus staff); Partners in Housing for workforce homes on public land (2025); $10 million in shelter funding in 2023 and $5 million a year of opioid-settlement shelter money in 2025. HB2 2023 also repealed the Board of Manufactured Housing, and HB2 2025 cut the Housing Appeals Board from three members to two serving at the Governor and Council's pleasure. Votes on HB2 are on the whole trailer — never on a single section. Appendix H has the section-by-section detail.</w:t>
      </w:r>
    </w:p>
    <w:p>
      <w:pPr>
        <w:widowControl/>
        <w:spacing w:before="84" w:after="36" w:lineRule="auto" w:line="254"/>
      </w:pPr>
      <w:r>
        <w:rPr>
          <w:rFonts w:ascii="Arial" w:hAnsi="Arial" w:cs="Arial" w:eastAsia="Arial"/>
          <w:b/>
          <w:color w:val="C0392B"/>
          <w:sz w:val="25"/>
          <w:spacing w:val="20"/>
        </w:rPr>
        <w:t>WHERE NEW LAW EXISTS</w:t>
      </w:r>
    </w:p>
    <w:p>
      <w:pPr>
        <w:widowControl/>
        <w:spacing w:before="0" w:after="49" w:lineRule="auto" w:line="247"/>
        <w:jc w:val="both"/>
      </w:pPr>
      <w:r>
        <w:rPr>
          <w:rFonts w:ascii="Arial" w:hAnsi="Arial" w:cs="Arial" w:eastAsia="Arial"/>
          <w:b/>
          <w:color w:val="1A2D4F"/>
          <w:sz w:val="20"/>
        </w:rPr>
        <w:t>Homes in commercial zones.</w:t>
      </w:r>
      <w:r>
        <w:rPr>
          <w:rFonts w:ascii="Arial" w:hAnsi="Arial" w:cs="Arial" w:eastAsia="Arial"/>
          <w:b w:val="0"/>
          <w:color w:val="444444"/>
          <w:sz w:val="20"/>
        </w:rPr>
        <w:t xml:space="preserve"> The record's clearest recent success. HB631 (2025) legalized residential building in commercial zoning after the House rejected a motion to kill it 128–211; HB1010 (2026) extended multi-family development on commercial land; HB1588 (2026) added limits on local parking mandates, special assessment districts, and housing-infrastructure grant money, clearing its conference report 185–171. The more aggressive versions — high-density residential on commercial land (SB90, HB1065, both 2026) — still died.</w:t>
      </w:r>
    </w:p>
    <w:p>
      <w:pPr>
        <w:widowControl/>
        <w:spacing w:before="0" w:after="49" w:lineRule="auto" w:line="247"/>
        <w:jc w:val="both"/>
      </w:pPr>
      <w:r>
        <w:rPr>
          <w:rFonts w:ascii="Arial" w:hAnsi="Arial" w:cs="Arial" w:eastAsia="Arial"/>
          <w:b/>
          <w:color w:val="1A2D4F"/>
          <w:sz w:val="20"/>
        </w:rPr>
        <w:t>Accessory dwelling units, narrowly.</w:t>
      </w:r>
      <w:r>
        <w:rPr>
          <w:rFonts w:ascii="Arial" w:hAnsi="Arial" w:cs="Arial" w:eastAsia="Arial"/>
          <w:b w:val="0"/>
          <w:color w:val="444444"/>
          <w:sz w:val="20"/>
        </w:rPr>
        <w:t xml:space="preserve"> HB577 (2025) broadened the ADU definition to include detached units and became law; HB1079 (2026) let ADUs go into non-conforming structures. A 2026 attempt to repeal the ADU statutes (HB1012) died. The financing side has not passed: ADU loan guarantees (HB1662, 2026) died and loan forgiveness (HB604, 2026) sits in interim study.</w:t>
      </w:r>
    </w:p>
    <w:p>
      <w:pPr>
        <w:widowControl/>
        <w:spacing w:before="0" w:after="49" w:lineRule="auto" w:line="247"/>
        <w:jc w:val="both"/>
      </w:pPr>
      <w:r>
        <w:rPr>
          <w:rFonts w:ascii="Arial" w:hAnsi="Arial" w:cs="Arial" w:eastAsia="Arial"/>
          <w:b/>
          <w:color w:val="1A2D4F"/>
          <w:sz w:val="20"/>
        </w:rPr>
        <w:t>Eviction process, not eviction protections.</w:t>
      </w:r>
      <w:r>
        <w:rPr>
          <w:rFonts w:ascii="Arial" w:hAnsi="Arial" w:cs="Arial" w:eastAsia="Arial"/>
          <w:b w:val="0"/>
          <w:color w:val="444444"/>
          <w:sz w:val="20"/>
        </w:rPr>
        <w:t xml:space="preserve"> SB126 (2021) rewrote landlord-tenant court proceedings and passed the Senate 24–0; HB1598 (2026) updated eviction notices and hearings. Both are procedural.</w:t>
      </w:r>
    </w:p>
    <w:p>
      <w:pPr>
        <w:widowControl/>
        <w:spacing w:before="0" w:after="49" w:lineRule="auto" w:line="247"/>
        <w:jc w:val="both"/>
      </w:pPr>
      <w:r>
        <w:rPr>
          <w:rFonts w:ascii="Arial" w:hAnsi="Arial" w:cs="Arial" w:eastAsia="Arial"/>
          <w:b/>
          <w:color w:val="1A2D4F"/>
          <w:sz w:val="20"/>
        </w:rPr>
        <w:t>Boards and appeals.</w:t>
      </w:r>
      <w:r>
        <w:rPr>
          <w:rFonts w:ascii="Arial" w:hAnsi="Arial" w:cs="Arial" w:eastAsia="Arial"/>
          <w:b w:val="0"/>
          <w:color w:val="444444"/>
          <w:sz w:val="20"/>
        </w:rPr>
        <w:t xml:space="preserve"> HB92 (2025) requires zoning and planning board members to step aside for conflicts of interest; HB1359 (2024) settled who counts as an "abutter" able to appeal. Repeated board-training bills (2020, 2021, 2022, 2026) all died.</w:t>
      </w:r>
    </w:p>
    <w:p>
      <w:pPr>
        <w:widowControl/>
        <w:spacing w:before="0" w:after="49" w:lineRule="auto" w:line="247"/>
        <w:jc w:val="both"/>
      </w:pPr>
      <w:r>
        <w:rPr>
          <w:rFonts w:ascii="Arial" w:hAnsi="Arial" w:cs="Arial" w:eastAsia="Arial"/>
          <w:b/>
          <w:color w:val="1A2D4F"/>
          <w:sz w:val="20"/>
        </w:rPr>
        <w:t>Manufactured and tiny homes, at the edges.</w:t>
      </w:r>
      <w:r>
        <w:rPr>
          <w:rFonts w:ascii="Arial" w:hAnsi="Arial" w:cs="Arial" w:eastAsia="Arial"/>
          <w:b w:val="0"/>
          <w:color w:val="444444"/>
          <w:sz w:val="20"/>
        </w:rPr>
        <w:t xml:space="preserve"> SB166 (2025) requires notice before a manufactured home in a resident-owned community is sold; HB1681 (2026) legalized tiny houses and yurts as innovative housing, 242–102 on concurrence.</w:t>
      </w:r>
    </w:p>
    <w:p>
      <w:pPr>
        <w:widowControl/>
        <w:spacing w:before="84" w:after="36" w:lineRule="auto" w:line="254"/>
      </w:pPr>
      <w:r>
        <w:rPr>
          <w:rFonts w:ascii="Arial" w:hAnsi="Arial" w:cs="Arial" w:eastAsia="Arial"/>
          <w:b/>
          <w:color w:val="C0392B"/>
          <w:sz w:val="25"/>
          <w:spacing w:val="20"/>
        </w:rPr>
        <w:t>IDEAS THAT REACHED THE LEGISLATURE AND STALLED</w:t>
      </w:r>
    </w:p>
    <w:p>
      <w:pPr>
        <w:widowControl/>
        <w:spacing w:before="0" w:after="49" w:lineRule="auto" w:line="247"/>
        <w:jc w:val="both"/>
      </w:pPr>
      <w:r>
        <w:rPr>
          <w:rFonts w:ascii="Arial" w:hAnsi="Arial" w:cs="Arial" w:eastAsia="Arial"/>
          <w:b/>
          <w:color w:val="1A2D4F"/>
          <w:sz w:val="20"/>
        </w:rPr>
        <w:t>The statewide ADU mandate.</w:t>
      </w:r>
      <w:r>
        <w:rPr>
          <w:rFonts w:ascii="Arial" w:hAnsi="Arial" w:cs="Arial" w:eastAsia="Arial"/>
          <w:b w:val="0"/>
          <w:color w:val="444444"/>
          <w:sz w:val="20"/>
        </w:rPr>
        <w:t xml:space="preserve"> HB1291 (2024) — two ADUs per lot by right — passed the House 220–143, with 150 Democrats and 67 Republicans in favor, and the Senate indefinitely postponed it after a rescue amendment failed 8–16. The narrower 2025–2026 ADU laws are what survived of it.</w:t>
      </w:r>
    </w:p>
    <w:p>
      <w:pPr>
        <w:widowControl/>
        <w:spacing w:before="0" w:after="49" w:lineRule="auto" w:line="247"/>
        <w:jc w:val="both"/>
      </w:pPr>
      <w:r>
        <w:rPr>
          <w:rFonts w:ascii="Arial" w:hAnsi="Arial" w:cs="Arial" w:eastAsia="Arial"/>
          <w:b/>
          <w:color w:val="1A2D4F"/>
          <w:sz w:val="20"/>
        </w:rPr>
        <w:t>Zoning-procedure reform.</w:t>
      </w:r>
      <w:r>
        <w:rPr>
          <w:rFonts w:ascii="Arial" w:hAnsi="Arial" w:cs="Arial" w:eastAsia="Arial"/>
          <w:b w:val="0"/>
          <w:color w:val="444444"/>
          <w:sz w:val="20"/>
        </w:rPr>
        <w:t xml:space="preserve"> Three tries, three stops: SB538 (2024) passed the Senate and was killed on the House floor 188–173; SB84 (2025) passed the Senate 13–10, was carried across the biennium, and ended in interim study; the House versions (HB1008, HB1713, 2026) died at home.</w:t>
      </w:r>
    </w:p>
    <w:p>
      <w:pPr>
        <w:widowControl/>
        <w:spacing w:before="0" w:after="49" w:lineRule="auto" w:line="247"/>
        <w:jc w:val="both"/>
      </w:pPr>
      <w:r>
        <w:rPr>
          <w:rFonts w:ascii="Arial" w:hAnsi="Arial" w:cs="Arial" w:eastAsia="Arial"/>
          <w:b/>
          <w:color w:val="1A2D4F"/>
          <w:sz w:val="20"/>
        </w:rPr>
        <w:t>Standalone housing money.</w:t>
      </w:r>
      <w:r>
        <w:rPr>
          <w:rFonts w:ascii="Arial" w:hAnsi="Arial" w:cs="Arial" w:eastAsia="Arial"/>
          <w:b w:val="0"/>
          <w:color w:val="444444"/>
          <w:sz w:val="20"/>
        </w:rPr>
        <w:t xml:space="preserve"> SB152 (2021) — $10 million for the Affordable Housing Fund — passed the Senate 24–0 and the House killed it; the money moved through the budget instead. Transfer-tax increases for the fund (HB530, SB81, 2025) died at the Senate's own end-of-year deadline, and SB419 (2026) went to interim study 16–8. New dedicated taxes — luxury second homes (HB1786), vacant properties (HB1707) — never got off the House table.</w:t>
      </w:r>
    </w:p>
    <w:p>
      <w:pPr>
        <w:widowControl/>
        <w:spacing w:before="0" w:after="49" w:lineRule="auto" w:line="247"/>
        <w:jc w:val="both"/>
      </w:pPr>
      <w:r>
        <w:rPr>
          <w:rFonts w:ascii="Arial" w:hAnsi="Arial" w:cs="Arial" w:eastAsia="Arial"/>
          <w:b/>
          <w:color w:val="1A2D4F"/>
          <w:sz w:val="20"/>
        </w:rPr>
        <w:t>Shelter funding.</w:t>
      </w:r>
      <w:r>
        <w:rPr>
          <w:rFonts w:ascii="Arial" w:hAnsi="Arial" w:cs="Arial" w:eastAsia="Arial"/>
          <w:b w:val="0"/>
          <w:color w:val="444444"/>
          <w:sz w:val="20"/>
        </w:rPr>
        <w:t xml:space="preserve"> SB415 (2022) was tabled in the Senate 13–11; SB113 (2025) passed the Senate 23–0 and died at the same internal deadline. The shelter dollars that did arrive came inside HB2.</w:t>
      </w:r>
    </w:p>
    <w:p>
      <w:pPr>
        <w:widowControl/>
        <w:spacing w:before="0" w:after="49" w:lineRule="auto" w:line="247"/>
        <w:jc w:val="both"/>
      </w:pPr>
      <w:r>
        <w:rPr>
          <w:rFonts w:ascii="Arial" w:hAnsi="Arial" w:cs="Arial" w:eastAsia="Arial"/>
          <w:b/>
          <w:color w:val="1A2D4F"/>
          <w:sz w:val="20"/>
        </w:rPr>
        <w:t>A repeal, stopped.</w:t>
      </w:r>
      <w:r>
        <w:rPr>
          <w:rFonts w:ascii="Arial" w:hAnsi="Arial" w:cs="Arial" w:eastAsia="Arial"/>
          <w:b w:val="0"/>
          <w:color w:val="444444"/>
          <w:sz w:val="20"/>
        </w:rPr>
        <w:t xml:space="preserve"> HB1196 (2026) — repealing the Housing Champion program — passed the House 185–166 with Republicans in favor and every voting Democrat opposed; the Senate killed it, and the program survived.</w:t>
      </w:r>
    </w:p>
    <w:p>
      <w:pPr>
        <w:widowControl/>
        <w:spacing w:before="84" w:after="36" w:lineRule="auto" w:line="254"/>
      </w:pPr>
      <w:r>
        <w:rPr>
          <w:rFonts w:ascii="Arial" w:hAnsi="Arial" w:cs="Arial" w:eastAsia="Arial"/>
          <w:b/>
          <w:color w:val="C0392B"/>
          <w:sz w:val="25"/>
          <w:spacing w:val="20"/>
        </w:rPr>
        <w:t>IDEAS THAT HAVE NOT PASSED EITHER CHAMBER</w:t>
      </w:r>
    </w:p>
    <w:p>
      <w:pPr>
        <w:widowControl/>
        <w:spacing w:before="0" w:after="49" w:lineRule="auto" w:line="247"/>
        <w:jc w:val="both"/>
      </w:pPr>
      <w:r>
        <w:rPr>
          <w:rFonts w:ascii="Arial" w:hAnsi="Arial" w:cs="Arial" w:eastAsia="Arial"/>
          <w:b/>
          <w:color w:val="1A2D4F"/>
          <w:sz w:val="20"/>
        </w:rPr>
        <w:t>Voucher protections.</w:t>
      </w:r>
      <w:r>
        <w:rPr>
          <w:rFonts w:ascii="Arial" w:hAnsi="Arial" w:cs="Arial" w:eastAsia="Arial"/>
          <w:b w:val="0"/>
          <w:color w:val="444444"/>
          <w:sz w:val="20"/>
        </w:rPr>
        <w:t xml:space="preserve"> Bills barring landlords from rejecting tenants with housing vouchers died in the House three times — HB1291 (2022, tabled 179–148), HB469 (2023), HB628 (2025).</w:t>
      </w:r>
    </w:p>
    <w:p>
      <w:pPr>
        <w:widowControl/>
        <w:spacing w:before="0" w:after="49" w:lineRule="auto" w:line="247"/>
        <w:jc w:val="both"/>
      </w:pPr>
      <w:r>
        <w:rPr>
          <w:rFonts w:ascii="Arial" w:hAnsi="Arial" w:cs="Arial" w:eastAsia="Arial"/>
          <w:b/>
          <w:color w:val="1A2D4F"/>
          <w:sz w:val="20"/>
        </w:rPr>
        <w:t>Rent costs and fees.</w:t>
      </w:r>
      <w:r>
        <w:rPr>
          <w:rFonts w:ascii="Arial" w:hAnsi="Arial" w:cs="Arial" w:eastAsia="Arial"/>
          <w:b w:val="0"/>
          <w:color w:val="444444"/>
          <w:sz w:val="20"/>
        </w:rPr>
        <w:t xml:space="preserve"> Municipal rental regulation (HB95, 2023) lost 301–63. Rent-increase notice (HB567, 2023), the rent registry and algorithm ban (HB558, 2025), application-fee limits (HB1371, HB1375, 2026), the price-fixing-software ban (HB1612, 2026), pet-fee rules (HB1553, 2026), and rental mold standards (HB1143, 2026) all died in the House. What passed instead is narrow — optional electronic rent payment (HB309, 2025) — and the one deposit bill that cleared both chambers ran the other way: HB1336 (2026), loosening the security-deposit cap, was vetoed, with the override pending this fall.</w:t>
      </w:r>
    </w:p>
    <w:p>
      <w:pPr>
        <w:widowControl/>
        <w:spacing w:before="0" w:after="49" w:lineRule="auto" w:line="247"/>
        <w:jc w:val="both"/>
      </w:pPr>
      <w:r>
        <w:rPr>
          <w:rFonts w:ascii="Arial" w:hAnsi="Arial" w:cs="Arial" w:eastAsia="Arial"/>
          <w:b/>
          <w:color w:val="1A2D4F"/>
          <w:sz w:val="20"/>
        </w:rPr>
        <w:t>Tenant notice before a sale.</w:t>
      </w:r>
      <w:r>
        <w:rPr>
          <w:rFonts w:ascii="Arial" w:hAnsi="Arial" w:cs="Arial" w:eastAsia="Arial"/>
          <w:b w:val="0"/>
          <w:color w:val="444444"/>
          <w:sz w:val="20"/>
        </w:rPr>
        <w:t xml:space="preserve"> Notice when a multifamily building changes hands died in 2023 (HB112, 175–199), and again in 2025 (HB444).</w:t>
      </w:r>
    </w:p>
    <w:p>
      <w:pPr>
        <w:widowControl/>
        <w:spacing w:before="84" w:after="36" w:lineRule="auto" w:line="254"/>
      </w:pPr>
      <w:r>
        <w:rPr>
          <w:rFonts w:ascii="Arial" w:hAnsi="Arial" w:cs="Arial" w:eastAsia="Arial"/>
          <w:b/>
          <w:color w:val="C0392B"/>
          <w:sz w:val="25"/>
          <w:spacing w:val="20"/>
        </w:rPr>
        <w:t>THE POLITICAL TERRAIN</w:t>
      </w:r>
    </w:p>
    <w:p>
      <w:pPr>
        <w:widowControl/>
        <w:spacing w:before="0" w:after="49" w:lineRule="auto" w:line="247"/>
        <w:jc w:val="both"/>
      </w:pPr>
      <w:r>
        <w:rPr>
          <w:rFonts w:ascii="Arial" w:hAnsi="Arial" w:cs="Arial" w:eastAsia="Arial"/>
          <w:b w:val="0"/>
          <w:color w:val="444444"/>
          <w:sz w:val="20"/>
        </w:rPr>
        <w:t>Housing-supply coalitions in this record are cross-party and shift bill by bill: 42 policy bills carried sponsors from both parties, and the commercial-zone laws passed with mixed majorities. The 2021 zoning omnibus SB86 passed the House 208–167 with 196 Republicans in favor and 164 Democrats opposed; three years later the ADU mandate passed the House on the reverse coalition. Tenant-cost bills split on party lines and die on the House floor — the chamber's Inexpedient to Legislate motion is the single largest killer in the set, with 51 housing bills killed in 2026 alone. Five 2025 Senate housing bills, several after unanimous votes, died at the Senate's Rule 3-23 deadline rather than on the merits. Since 2020 the Governor has vetoed three housing bills: the COVID eviction pause (HB1247, 2020, override failed 187–148), the manufactured-housing boards bill (SB318, 2024), and the deposit-cap exception (HB1336, 2026). Frequent carriers where sponsor records exist: Reps. Joe Alexander (R) and Ellen Read (D) and Sen. Keith Murphy (R) on seven, six, and five bills respectively.</w:t>
      </w:r>
    </w:p>
    <w:p>
      <w:pPr>
        <w:widowControl/>
        <w:spacing w:before="84" w:after="36" w:lineRule="auto" w:line="254"/>
      </w:pPr>
      <w:r>
        <w:rPr>
          <w:rFonts w:ascii="Arial" w:hAnsi="Arial" w:cs="Arial" w:eastAsia="Arial"/>
          <w:b/>
          <w:color w:val="C0392B"/>
          <w:sz w:val="25"/>
          <w:spacing w:val="20"/>
        </w:rPr>
        <w:t>NEW LAW FROM THE 2025–2026 BIENNIUM</w:t>
      </w:r>
    </w:p>
    <w:p>
      <w:pPr>
        <w:widowControl/>
        <w:spacing w:before="0" w:after="49" w:lineRule="auto" w:line="247"/>
        <w:jc w:val="both"/>
      </w:pPr>
      <w:r>
        <w:rPr>
          <w:rFonts w:ascii="Arial" w:hAnsi="Arial" w:cs="Arial" w:eastAsia="Arial"/>
          <w:b w:val="0"/>
          <w:color w:val="444444"/>
          <w:sz w:val="20"/>
        </w:rPr>
        <w:t>Twenty-two housing laws in two years. HB631, HB1010, and HB1588 opened commercial land to homes; HB577 and HB1079 widened ADU rights; HB457 limited local dwelling-unit restrictions; HB1681 legalized tiny houses. HB1598 updated eviction procedure; SB166 protected manufactured-home residents at sale; HB92 added recusal rules. HB1042 raised New Hampshire Housing's bonding cap; SB490 put a housing task force and vacant property to work at Great Bay Community College. The budget trailer carried the rest: Partners in Housing, extended Housing Champion money, opioid-fund shelter dollars, a Medicaid supportive-housing benefit — and the Housing Appeals Board restructure, passed 184–183 in the House as part of the whole package.</w:t>
      </w:r>
    </w:p>
    <w:p>
      <w:pPr>
        <w:widowControl/>
        <w:spacing w:before="40" w:after="0" w:lineRule="auto" w:line="254"/>
        <w:pBdr>
          <w:top w:val="single" w:sz="6" w:space="4" w:color="C8CDD6"/>
        </w:pBdr>
      </w:pPr>
      <w:r>
        <w:rPr>
          <w:rFonts w:ascii="Arial" w:hAnsi="Arial" w:cs="Arial" w:eastAsia="Arial"/>
          <w:b w:val="0"/>
          <w:color w:val="666666"/>
          <w:sz w:val="20"/>
          <w:spacing w:val="4"/>
        </w:rPr>
        <w:t>Full bill-by-bill detail, votes, sponsors, HB2 sections, and sources: Appendices A–I.</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