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b21cfcd3be4350d2568f02ecbaf942115da6cf2"/>
    <w:p>
      <w:pPr>
        <w:pStyle w:val="Heading1"/>
      </w:pPr>
      <w:r>
        <w:t xml:space="preserve">Appendices — Growth, Infrastructure, and Roads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(178),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voice votes, one-year provisos)</w:t>
            </w:r>
          </w:p>
        </w:tc>
      </w:tr>
      <w:tr>
        <w:tc>
          <w:tcPr/>
          <w:p>
            <w:pPr>
              <w:pStyle w:val="Compact"/>
              <w:jc w:val="left"/>
            </w:pPr>
            <w:r>
              <w:rPr>
                <w:rStyle w:val="VerbatimChar"/>
              </w:rPr>
              <w:t xml:space="preserve">G-budget-provisos.md</w:t>
            </w:r>
          </w:p>
        </w:tc>
        <w:tc>
          <w:tcPr/>
          <w:p>
            <w:pPr>
              <w:pStyle w:val="Compact"/>
              <w:jc w:val="left"/>
            </w:pPr>
            <w:r>
              <w:t xml:space="preserve">Roads and growth provisos in each budget year, incl. the Road Buyback Program and the one-time money packages</w:t>
            </w:r>
          </w:p>
        </w:tc>
      </w:tr>
      <w:tr>
        <w:tc>
          <w:tcPr/>
          <w:p>
            <w:pPr>
              <w:pStyle w:val="Compact"/>
              <w:jc w:val="left"/>
            </w:pPr>
            <w:r>
              <w:rPr>
                <w:rStyle w:val="VerbatimChar"/>
              </w:rPr>
              <w:t xml:space="preserve">H-proposal-crosswalk.md</w:t>
            </w:r>
          </w:p>
        </w:tc>
        <w:tc>
          <w:tcPr/>
          <w:p>
            <w:pPr>
              <w:pStyle w:val="Compact"/>
              <w:jc w:val="left"/>
            </w:pPr>
            <w:r>
              <w:t xml:space="preserve">The five Phase 2 citizen proposals [P-…] (final grid)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S152</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(178 bills, hand-reviewed from 5,618 keyword hits plus nine universe additions).</w:t>
      </w:r>
      <w:r>
        <w:t xml:space="preserve"> </w:t>
      </w:r>
      <w:r>
        <w:rPr>
          <w:iCs/>
          <w:i/>
        </w:rPr>
        <w:t xml:space="preserve">Tier</w:t>
      </w:r>
      <w:r>
        <w:t xml:space="preserve">: Core bills are the headline set for the seven citizen proposals plus the road-funding/SCDOT-governance agenda; Adjacent bills are the same lanes but narrower, procedural, or industry-side;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X0a9fc070b7448772bfbdac0544078f8cba62fc7"/>
    <w:p>
      <w:pPr>
        <w:pStyle w:val="Heading2"/>
      </w:pPr>
      <w:r>
        <w:t xml:space="preserve">Local tools to pay for growth (penny taxes, tolls, local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House version: would have required a toll on Interstate 95 at Lake Marion, with the revenue spent on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H3775</w:t>
            </w:r>
          </w:p>
        </w:tc>
        <w:tc>
          <w:tcPr/>
          <w:p>
            <w:pPr>
              <w:pStyle w:val="Compact"/>
              <w:jc w:val="left"/>
            </w:pPr>
            <w:r>
              <w:t xml:space="preserve">Would have revised the petition procedure for creating a special tax district - one of the older tools for funding neighborhood infrastructure.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Recalled from Judiciary and recommitted to Ways and Means; no further action</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House version: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Would have let a county keep imposing a pre-1997 hospitality fee at its original rate - the fee family that funds Horry County’s RIDE road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The Local Option Motor Fuel User Fee Act: would have let a county, by referendum, add one cent a gallon to the gas tax for beach renourishment - a local-option gas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Would have required SCDOT to toll Interstate 95 at Lake Marion and use the money for repairs in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Let local tourism (hospitality) tax revenue also pay for flooding and drainage repairs in tourism areas (Act 146 of 2020).</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146)</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Would have let capital project sales tax (penny) revenue also fund infrastructure for economic development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Would have revised how county transportation authorities are funded, including the local sales taxes and tolls that pay for transportation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Would have made clear that a county’s local transportation sales tax and tolls can fund mass transit service, with the same procurement rules as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Would have lowered the collections threshold that lets a county spend accommodations tax revenue on additional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Would have required SCDOT to review every highway and bridge project for the possibility of financing it with tolls.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directly on the Senate calendar; never taken up</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Would have removed the rule that keeps a county from stacking a capital project penny tax on top of a transportation penny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Would have required a county’s local road use fee to sit in a separate account, spent only on the county’s existing transportation system and identified in the annual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Refile: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The County Green Space Sales Tax Act (Act 166 of 2022): created a new voter-approved local penny tax counties can use to buy and preserve green space - the one new local funding tool enacted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Required SCDOT approval before municipalities restrict state highway rights of way, and set rules for paid beach parking and how the parking money is used (Act 89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Would have defined</w:t>
            </w:r>
            <w:r>
              <w:t xml:space="preserve"> </w:t>
            </w:r>
            <w:r>
              <w:t xml:space="preserve">‘</w:t>
            </w:r>
            <w:r>
              <w:t xml:space="preserve">mass transit system</w:t>
            </w:r>
            <w:r>
              <w:t xml:space="preserve">’</w:t>
            </w:r>
            <w:r>
              <w:t xml:space="preserve"> </w:t>
            </w:r>
            <w:r>
              <w:t xml:space="preserve">in the local transportation sales tax law so penny-tax revenue could clearly fund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House version: would have expanded what a county transportation penny tax can pay for, including greenbelts and drainage.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Would have exempted groceries (unprepared food)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Senate version: would have exempted groceries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Would have let counties reimpose a capital project sales tax (penny) for eleven years instead of seven.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Refile: would have defined</w:t>
            </w:r>
            <w:r>
              <w:t xml:space="preserve"> </w:t>
            </w:r>
            <w:r>
              <w:t xml:space="preserve">‘</w:t>
            </w:r>
            <w:r>
              <w:t xml:space="preserve">mass transit system</w:t>
            </w:r>
            <w:r>
              <w:t xml:space="preserve">’</w:t>
            </w:r>
            <w:r>
              <w:t xml:space="preserve"> </w:t>
            </w:r>
            <w:r>
              <w:t xml:space="preserve">in the local transportation sales tax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Refile: would have required SCDOT to toll Interstate 95 at Lake Marion for maintenance funding.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Would have expanded what a county transportation penny tax can pay for - adding ferries, aviation, railways, greenbelts, and drainage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The Interstate 95 Bridge Toll Act: would have authorized toll booths at four I-95 bridges, with resident and commercial-carrier relief, to fund corridor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Would have let a small share of green space penny-tax money pay for conservation management of the land bought.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House version: 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Expanded which counties may impose the local-option education capital improvements sales tax for school buildings (Act 203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203)</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Would add police, fire, and EMS operations to the purposes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Would add greenspace and greenbelt programs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Would let a county transportation penny tax fund greenways and flood-prevention drainage, and let counties put a tax extension or replacement purpose on the ballot.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1"/>
    <w:bookmarkStart w:id="22" w:name="making-developers-pay-impact-fees"/>
    <w:p>
      <w:pPr>
        <w:pStyle w:val="Heading2"/>
      </w:pPr>
      <w:r>
        <w:t xml:space="preserve">Making developers pay (impact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Would have let counties and cities charge developers a one-time impact fee per new unit to fund a Gentrification Trust Fund helping longtime residents stay, with an exemption for projects with 15% low-income housing.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Would have let governments with pre-1999 impact fees use the revenue to pay down debt for system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Would have let a city or county impose an impact fee on residential development only, commercial only, or both - loosening the all-or-nothing rule.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Would have narrowed the Development Impact Fee Act: fees could not cover repair, operation, or maintenance of improvements, or the government’s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Package: counties would report residential development plans to affected cities, annexation notices would go to the county, and impact fee definitions would be narrowed.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Senate version: would have narrowed what development impact fees can cover, excluding repair, maintenance, and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Refile of the package narrowing impact fee definitions and requiring development and annexation notices between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Refile: a one-time developer impact fee per new unit funding a Gentrification Trust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Would exempt home buyers who already owned a home in the same school district for fifteen years from impact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Would add road resurfacing to what development impact fees can fund and give governments more time to spend fee revenue.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X555e975c62abfc1a969add86b5d555bcae3b0eb"/>
    <w:p>
      <w:pPr>
        <w:pStyle w:val="Heading2"/>
      </w:pPr>
      <w:r>
        <w:t xml:space="preserve">State road money (gas tax, road fees, infrastructure funds)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Would have put the SCDOT Commission in charge of the Transportation Infrastructure Bank’s board - merging control of the state’s big-project loan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Would have required EV charging at all state welcome centers and rest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Would have applied the infrastructure maintenance fee (the road-funding fee paid when a vehicle is first registered) to first titling too, closing a collection gap.</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Would have created an Interstate Lane Expansion Fund - dedicating part of the infrastructure maintenance fee to adding lanes on existing interstates, with projects picked through the Transportation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Would have exempted returning South Carolina residents from paying the infrastructure maintenance fee again on vehicles they registered here before.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Closed the collection gap in the road-funding infrastructure maintenance fee by applying it at first titling (Act 70 of 2021).</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70)</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Would have stopped the 2017 gas-tax phase-in early, freezing the user fee at eight cents of the planned twelve-cent increase.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Would have repealed the state gas user fee and the road tax outright.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Would have created a state tax credit matching half the federal alternative-fuel infrastructure credit for EV charging and similar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Would have repealed the special road use fee charged to electric and hybrid vehicle owners.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Would have suspended the gas user fee and road tax for one year during the 2022 gas-price spike.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Would have suspended the gas user fee whenever average gas prices exceeded $3.25 per gallon.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Would have required fifteen percent of each county’s</w:t>
            </w:r>
            <w:r>
              <w:t xml:space="preserve"> </w:t>
            </w:r>
            <w:r>
              <w:t xml:space="preserve">‘</w:t>
            </w:r>
            <w:r>
              <w:t xml:space="preserve">C</w:t>
            </w:r>
            <w:r>
              <w:t xml:space="preserve">’</w:t>
            </w:r>
            <w:r>
              <w:t xml:space="preserve"> </w:t>
            </w:r>
            <w:r>
              <w:t xml:space="preserve">fund gas-tax apportionment to be spent on rural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Senate version of the titling fix for the infrastructure maintenance fee.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Set rules for who counts as an electric utility when selling EV charging, and created a joint legislative committee on the electrification of transportation (Act 46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46)</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Would have repealed the electric-vehicle road use fee and added a tax deduction for solar panels powering EV charging stations.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H4004</w:t>
            </w:r>
          </w:p>
        </w:tc>
        <w:tc>
          <w:tcPr/>
          <w:p>
            <w:pPr>
              <w:pStyle w:val="Compact"/>
              <w:jc w:val="left"/>
            </w:pPr>
            <w:r>
              <w:t xml:space="preserve">House resolution urging Congress to create a National Infrastructure Bank.</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Would abolish the State Transportation Infrastructure Bank and send its fines and fees straight to the State Highway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Would make SCDOT transfer certain roads to the counties and delete the rule that a quarter of county</w:t>
            </w:r>
            <w:r>
              <w:t xml:space="preserve"> </w:t>
            </w:r>
            <w:r>
              <w:t xml:space="preserve">‘</w:t>
            </w:r>
            <w:r>
              <w:t xml:space="preserve">C</w:t>
            </w:r>
            <w:r>
              <w:t xml:space="preserve">’</w:t>
            </w:r>
            <w:r>
              <w:t xml:space="preserve"> </w:t>
            </w:r>
            <w:r>
              <w:t xml:space="preserve">funds be spent on the state highway system.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Would more than double the share of the gas user fee that goes to counties for local roads (</w:t>
            </w:r>
            <w:r>
              <w:t xml:space="preserve">‘</w:t>
            </w:r>
            <w:r>
              <w:t xml:space="preserve">C</w:t>
            </w:r>
            <w:r>
              <w:t xml:space="preserve">’</w:t>
            </w:r>
            <w:r>
              <w:t xml:space="preserve"> </w:t>
            </w:r>
            <w:r>
              <w:t xml:space="preserve">funds) and delete the rule steering part of it back to state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Would suspend part of the gas user fee and road tax for sixty days - one of five near-identical suspension resolutions filed in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Would suspend the gas tax for thirty days, extended another thirty if pump prices had not fallen fifteen percent.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3"/>
    <w:bookmarkStart w:id="24" w:name="fixing-and-maintaining-existing-roads"/>
    <w:p>
      <w:pPr>
        <w:pStyle w:val="Heading2"/>
      </w:pPr>
      <w:r>
        <w:t xml:space="preserve">Fixing and maintaining existing roads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Would have required SCDOT mowing contractors to remove trash along the highway before mowing.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Would have required SCDOT to run a toll-free pothole hotline so motorists whose cars are damaged by road hazards can file complaints and get information.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Refile of the SCDOT road-hazard damage hotline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Would have set the conditions under which a county may maintain or improve a private road that is the only access for residents.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Would require SCDOT to properly maintain roads it accepts into the state highway system from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Would have created a study committee on bridge safety for large ships entering ports, after the Baltimore Key Bridge collapse.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Refile of the port bridge safety study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Would have county sheriffs report hazardous road segments to SCDOT, which must respond about closures or repairs and keep a public database.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The</w:t>
            </w:r>
            <w:r>
              <w:t xml:space="preserve"> </w:t>
            </w:r>
            <w:r>
              <w:t xml:space="preserve">‘</w:t>
            </w:r>
            <w:r>
              <w:t xml:space="preserve">Fix Our Roads Accountability Act</w:t>
            </w:r>
            <w:r>
              <w:t xml:space="preserve">’</w:t>
            </w:r>
            <w:r>
              <w:t xml:space="preserve">: would create a statewide pavement preservation program run through SCDOT’s engineering districts, with annual reports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4"/>
    <w:bookmarkStart w:id="25" w:name="Xc0084228cb6800998f9547be32d4b67507533da"/>
    <w:p>
      <w:pPr>
        <w:pStyle w:val="Heading2"/>
      </w:pPr>
      <w:r>
        <w:t xml:space="preserve">Who runs SCDOT (governance and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The same design six years earlier: governor appoints the secretary and the commission’s duties devolve - filed in 2019, never heard.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Joint resolution to approve SCDOT’s project prioritization regulation - the ranking rules for which roads get built first.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107-0; favorable Senate committee report, then recommitted to Senate Transportation</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Would have required the transportation secretary to certify and publish SCDOT’s annual expenditure report, including money transferred to the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A different design: the Lieutenant Governor would serve as Secretary of Transportation starting in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Would have moved the power to appoint the Secretary of Transportation from the SCDOT Commission to the Governor.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The governor-appoints-the-secretary, dissolve-the-commission design, filed again in 2024.</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Refile: the Lieutenant Governor would serve as Secretary of Transportation starting in 2028.</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House companion to the SCDOT governance overhaul: the Governor, not the commission, would appoint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recommitted after floor debate stalled - the Senate’s S831 passed instead</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Would dissolve the SCDOT Commission entirely and transfer its responsibilities to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The SCDOT Modernization Act (Act 177 of 2026): the Governor now appoints the Secretary of Transportation and the seven-member commission is abolished January 1, 2027, its duties devolved to the secretary - plus a Pothole Mitigation Program (seven-day repairs, $15 million a year), phased design-build contracting,</w:t>
            </w:r>
            <w:r>
              <w:t xml:space="preserve"> </w:t>
            </w:r>
            <w:r>
              <w:t xml:space="preserve">‘</w:t>
            </w:r>
            <w:r>
              <w:t xml:space="preserve">choice lane</w:t>
            </w:r>
            <w:r>
              <w:t xml:space="preserve">’</w:t>
            </w:r>
            <w:r>
              <w:t xml:space="preserve"> </w:t>
            </w:r>
            <w:r>
              <w:t xml:space="preserve">toll rules, public-private partnership authority, a four-year outside audit, and a rewritten county</w:t>
            </w:r>
            <w:r>
              <w:t xml:space="preserve"> </w:t>
            </w:r>
            <w:r>
              <w:t xml:space="preserve">‘</w:t>
            </w:r>
            <w:r>
              <w:t xml:space="preserve">C</w:t>
            </w:r>
            <w:r>
              <w:t xml:space="preserve">’</w:t>
            </w:r>
            <w:r>
              <w:t xml:space="preserve">-funds split.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177)</w:t>
            </w:r>
          </w:p>
        </w:tc>
      </w:tr>
    </w:tbl>
    <w:bookmarkEnd w:id="25"/>
    <w:bookmarkStart w:id="26" w:name="Xc30f303100bd39dff42eb35e8026c1dd1949a84"/>
    <w:p>
      <w:pPr>
        <w:pStyle w:val="Heading2"/>
      </w:pPr>
      <w:r>
        <w:t xml:space="preserve">Road contracts and contractor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House version of the water-and-sewer line relocation cost rule for transportation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House version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Refile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Joint resolution to approve SCDOT’s contractor performance evaluation regulation - the scoring system for how road contractors performed.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Joint resolution to approve SCDOT’s regulation for disqualifying and suspending contractors from SCDOT contracts.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Would have extended the rule steering a share of highway construction funds to firms owned by women and minorities, covering subcontracts and setting participation goals.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Made the entity building a transportation improvement project bear the cost of relocating water and sewer lines, with a sunset date (Act 36 of 2019).</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36)</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The Partnership for Public Facilities and Infrastructure Act: a framework for public-private partnerships to build and operate public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Would have barred contracts with certain foreign-owned companies in connection with critical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Rewrote the contractor licensing law - definitions, thresholds, and penalties for construction contractors (Act 69 of 2023).</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Would have let SCDOT pilot</w:t>
            </w:r>
            <w:r>
              <w:t xml:space="preserve"> </w:t>
            </w:r>
            <w:r>
              <w:t xml:space="preserve">‘</w:t>
            </w:r>
            <w:r>
              <w:t xml:space="preserve">progressive design-build</w:t>
            </w:r>
            <w:r>
              <w:t xml:space="preserve">’</w:t>
            </w:r>
            <w:r>
              <w:t xml:space="preserve"> </w:t>
            </w:r>
            <w:r>
              <w:t xml:space="preserve">contracting - picking a contractor on qualifications first, then negotiating the price.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Would have added broadband lines to the utility-relocation cost rule for federal highway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Refile of the foreign-owned company critical-infrastructure contracting ban.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Refile: would let SCDOT award contracts using the phase design-build delivery method.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Extended the Act 36 utility-relocation cost rule to 2032 and consented to federal-court suits under the national environmental review assignment program (Act 244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244)</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Refile: broadband line relocation costs on federal highway projects, and removal of the Act 36 sunset.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Recalled from one committee and recommitted to another; no further action</w:t>
            </w:r>
          </w:p>
        </w:tc>
      </w:tr>
    </w:tbl>
    <w:bookmarkEnd w:id="26"/>
    <w:bookmarkStart w:id="27" w:name="X9e96704a50ec2081073fe0fb7eed98619204efd"/>
    <w:p>
      <w:pPr>
        <w:pStyle w:val="Heading2"/>
      </w:pPr>
      <w:r>
        <w:t xml:space="preserve">Transit, rail, and other ways to get around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Would have created a High Speed Rail System Commission to develop a plan of action for high-speed rail.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Would have required governments building or improving public facilities to study whether transit riders can safely reach the site.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Would have let counties and cities create transit-oriented redevelopment agencies to develop areas around planned or existing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Would have required SCDOT to adopt a</w:t>
            </w:r>
            <w:r>
              <w:t xml:space="preserve"> </w:t>
            </w:r>
            <w:r>
              <w:t xml:space="preserve">‘</w:t>
            </w:r>
            <w:r>
              <w:t xml:space="preserve">Complete Streets</w:t>
            </w:r>
            <w:r>
              <w:t xml:space="preserve">’</w:t>
            </w:r>
            <w:r>
              <w:t xml:space="preserve"> </w:t>
            </w:r>
            <w:r>
              <w:t xml:space="preserve">policy - designing roads to safely accommodate pedestrians, cyclists, and transit riders.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The Developer-Provided Transit Stop Act: would have let local governments give developers incentives (including a tax credit) to build bus stops and walkable paths in projects near transit lines.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Would have created a Commuter Rail System Commission to plan for high-speed rail in the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Would have created a study committee on connecting to Charlotte’s mass transit system and providing mass transit statewide.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Would have made SCDOT’s required feasibility review before road projects cover all roads and use measurable standards, including dedicated bus lanes.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Refile of the High Speed Rail System Commission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106-3; died in Senate Finance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65-46; died in Senate Finance</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Refile of the transit-oriented development agency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Would have required SCDOT to study widening highway rights of way to add commuter rail lines alongside existing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Senate version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Would set standardized fees and a dispute process for utility lines crossing railroad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Would create a high-speed rail study committee tied to the Southeast High-Speed Rail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Made refusing to leave a public transit facility after a warning a misdemeanor, with a warning-and-appeal process (Act 222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bl>
    <w:bookmarkEnd w:id="27"/>
    <w:bookmarkStart w:id="28" w:name="Xcf8e758bd51d76d493eabea53e09c539cb3024d"/>
    <w:p>
      <w:pPr>
        <w:pStyle w:val="Heading2"/>
      </w:pPr>
      <w:r>
        <w:t xml:space="preserve">Planning for growth (zoning, comprehensive plans, annexation)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Would have required local governments and state agencies to prepare a housing impact analysis before adopting rules that change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Would have revised local planning definitions and let compliant land surveys be filed without local planning review.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Would have aligned appeals from planning commission decisions with the process used for zoning appeals.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Would have required every local comprehensive plan to include a resiliency element - the idea enacted the same year in Act 163.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The Disaster Relief and Resilience Act (Act 163 of 2020): created the state Office of Resilience with a statewide resilience plan, and required local comprehensive plans to add a resiliency element.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163)</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Senate version of the housing impact analysis requirement.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Senate version of the plat and subdivision definitions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House version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Would have let a municipality annex</w:t>
            </w:r>
            <w:r>
              <w:t xml:space="preserve"> </w:t>
            </w:r>
            <w:r>
              <w:t xml:space="preserve">‘</w:t>
            </w:r>
            <w:r>
              <w:t xml:space="preserve">donut hole</w:t>
            </w:r>
            <w:r>
              <w:t xml:space="preserve">’</w:t>
            </w:r>
            <w:r>
              <w:t xml:space="preserve"> </w:t>
            </w:r>
            <w:r>
              <w:t xml:space="preserve">areas it completely surrounds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The Home Attainability Act: would have cut local permitting costs and barriers to housing construction, including third-party building inspectors.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The Annexation Fairness Act: counties would get legal standing to challenge municipal annexations, with new limits on noncontiguous annexation.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Would have given local permitting bodies forty-five days to decide building permit and zoning applications, after which the application is deemed approved.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Would have let local governments allow transfers of development rights between parcels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Would have defined</w:t>
            </w:r>
            <w:r>
              <w:t xml:space="preserve"> </w:t>
            </w:r>
            <w:r>
              <w:t xml:space="preserve">‘</w:t>
            </w:r>
            <w:r>
              <w:t xml:space="preserve">concurrency programs</w:t>
            </w:r>
            <w:r>
              <w:t xml:space="preserve">’</w:t>
            </w:r>
            <w:r>
              <w:t xml:space="preserve"> </w:t>
            </w:r>
            <w:r>
              <w:t xml:space="preserve">in the zoning law - letting local governments require that infrastructure keep pace before new development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Refile of the forty-five-day permit shot-clock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House version of the concurrency-programs zoning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Refile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House version of the zoning permit-invalidation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The Community Impact and Opportunity Assessment Act: would require community impact assessments - covering infrastructure, affordability, and displacement - before major zoning and development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Ethics)</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Would let a county council block municipal annexations in the county until a comprehensive infrastructure impact study and mitigation plan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Would define</w:t>
            </w:r>
            <w:r>
              <w:t xml:space="preserve"> </w:t>
            </w:r>
            <w:r>
              <w:t xml:space="preserve">‘</w:t>
            </w:r>
            <w:r>
              <w:t xml:space="preserve">concurrency programs</w:t>
            </w:r>
            <w:r>
              <w:t xml:space="preserve">’</w:t>
            </w:r>
            <w:r>
              <w:t xml:space="preserve"> </w:t>
            </w:r>
            <w:r>
              <w:t xml:space="preserve">in the zoning law so local governments can tie new development approvals to infrastructure keeping pace.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favorably and amended on the Senate floor in the session’s final weeks; never completed passage</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Senate version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Favorable Judiciary committee report; died on the Senate calendar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Would void permits and stop construction when zoning officials determine a property’s use is not permitted under its zoning.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8"/>
    <w:bookmarkStart w:id="29" w:name="water-sewer-and-broadband-infrastructure"/>
    <w:p>
      <w:pPr>
        <w:pStyle w:val="Heading2"/>
      </w:pPr>
      <w:r>
        <w:t xml:space="preserve">Water, sewer, and broadband infrastructure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The Small Wireless Facilities Deployment Act: statewide rules for placing small 5G cells in rights of way, limiting local zoning control over them.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179)</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Would have created a Rural Communications Infrastructure Study Committee on rural broadband gaps.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Would have set the conditions for local governments to provide broadband internet service themselves.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The Broadband Accessibility Act: would have set up a framework to extend broadband into unserved areas, including using electric cooperative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Companion version of the Broadband Accessibility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Would have created a Broadband Development Office to coordinate extending high-speed internet.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Senate version of the small wireless facilities deployment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Would have created an Office of Broadband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112-0; died in Senate Finance</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Would have defined</w:t>
            </w:r>
            <w:r>
              <w:t xml:space="preserve"> </w:t>
            </w:r>
            <w:r>
              <w:t xml:space="preserve">‘</w:t>
            </w:r>
            <w:r>
              <w:t xml:space="preserve">environmental facilities</w:t>
            </w:r>
            <w:r>
              <w:t xml:space="preserve">’</w:t>
            </w:r>
            <w:r>
              <w:t xml:space="preserve"> </w:t>
            </w:r>
            <w:r>
              <w:t xml:space="preserve">(water, sewer, solid waste projects) in the Rural Infrastructure Authority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Would have expanded the Rural Infrastructure Authority’s corporate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Would have repealed a restriction on how Rural Infrastructure Authority funds are used.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Would have updated the definition of a rural infrastructure project.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Refile of the Rural Infrastructure Authority consolidation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with the county delegation in the Senate</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Dorchester County Transportation Committee membership increase.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162)</w:t>
            </w:r>
          </w:p>
        </w:tc>
      </w:tr>
      <w:tr>
        <w:tc>
          <w:tcPr/>
          <w:p>
            <w:pPr>
              <w:pStyle w:val="Compact"/>
              <w:jc w:val="left"/>
            </w:pPr>
            <w:r>
              <w:t xml:space="preserve">2019-20</w:t>
            </w:r>
          </w:p>
        </w:tc>
        <w:tc>
          <w:tcPr/>
          <w:p>
            <w:pPr>
              <w:pStyle w:val="Compact"/>
              <w:jc w:val="left"/>
            </w:pPr>
            <w:r>
              <w:t xml:space="preserve">S175</w:t>
            </w:r>
          </w:p>
        </w:tc>
        <w:tc>
          <w:tcPr/>
          <w:p>
            <w:pPr>
              <w:pStyle w:val="Compact"/>
              <w:jc w:val="left"/>
            </w:pPr>
            <w:r>
              <w:t xml:space="preserve">Would have limited the General Assembly’s naming of highways after living elected officials - the naming resolutions dominate this issue’s raw search results.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S953</w:t>
            </w:r>
          </w:p>
        </w:tc>
        <w:tc>
          <w:tcPr/>
          <w:p>
            <w:pPr>
              <w:pStyle w:val="Compact"/>
              <w:jc w:val="left"/>
            </w:pPr>
            <w:r>
              <w:t xml:space="preserve">Would have barred naming roads, bridges, and public buildings for living persons.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S988</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2019-20</w:t>
            </w:r>
          </w:p>
        </w:tc>
        <w:tc>
          <w:tcPr/>
          <w:p>
            <w:pPr>
              <w:pStyle w:val="Compact"/>
              <w:jc w:val="left"/>
            </w:pPr>
            <w:r>
              <w:t xml:space="preserve">S994</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2021-22</w:t>
            </w:r>
          </w:p>
        </w:tc>
        <w:tc>
          <w:tcPr/>
          <w:p>
            <w:pPr>
              <w:pStyle w:val="Compact"/>
              <w:jc w:val="left"/>
            </w:pPr>
            <w:r>
              <w:t xml:space="preserve">H3277</w:t>
            </w:r>
          </w:p>
        </w:tc>
        <w:tc>
          <w:tcPr/>
          <w:p>
            <w:pPr>
              <w:pStyle w:val="Compact"/>
              <w:jc w:val="left"/>
            </w:pPr>
            <w:r>
              <w:t xml:space="preserve">Union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Union Delegation)</w:t>
            </w:r>
          </w:p>
        </w:tc>
      </w:tr>
      <w:tr>
        <w:tc>
          <w:tcPr/>
          <w:p>
            <w:pPr>
              <w:pStyle w:val="Compact"/>
              <w:jc w:val="left"/>
            </w:pPr>
            <w:r>
              <w:t xml:space="preserve">2021-22</w:t>
            </w:r>
          </w:p>
        </w:tc>
        <w:tc>
          <w:tcPr/>
          <w:p>
            <w:pPr>
              <w:pStyle w:val="Compact"/>
              <w:jc w:val="left"/>
            </w:pPr>
            <w:r>
              <w:t xml:space="preserve">S178</w:t>
            </w:r>
          </w:p>
        </w:tc>
        <w:tc>
          <w:tcPr/>
          <w:p>
            <w:pPr>
              <w:pStyle w:val="Compact"/>
              <w:jc w:val="left"/>
            </w:pPr>
            <w:r>
              <w:t xml:space="preserve">Would have revised the road and building naming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S447</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2023-24</w:t>
            </w:r>
          </w:p>
        </w:tc>
        <w:tc>
          <w:tcPr/>
          <w:p>
            <w:pPr>
              <w:pStyle w:val="Compact"/>
              <w:jc w:val="left"/>
            </w:pPr>
            <w:r>
              <w:t xml:space="preserve">S383</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S1050</w:t>
            </w:r>
          </w:p>
        </w:tc>
        <w:tc>
          <w:tcPr/>
          <w:p>
            <w:pPr>
              <w:pStyle w:val="Compact"/>
              <w:jc w:val="left"/>
            </w:pPr>
            <w:r>
              <w:t xml:space="preserve">Hampton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S1051</w:t>
            </w:r>
          </w:p>
        </w:tc>
        <w:tc>
          <w:tcPr/>
          <w:p>
            <w:pPr>
              <w:pStyle w:val="Compact"/>
              <w:jc w:val="left"/>
            </w:pPr>
            <w:r>
              <w:t xml:space="preserve">Colleton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S1052</w:t>
            </w:r>
          </w:p>
        </w:tc>
        <w:tc>
          <w:tcPr/>
          <w:p>
            <w:pPr>
              <w:pStyle w:val="Compact"/>
              <w:jc w:val="left"/>
            </w:pPr>
            <w:r>
              <w:t xml:space="preserve">Jasper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269)</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p>
    <w:bookmarkStart w:id="32" w:name="X14d23ec3f857082fd71d28aa4ab8832127caf3a"/>
    <w:p>
      <w:pPr>
        <w:pStyle w:val="Heading2"/>
      </w:pPr>
      <w:r>
        <w:t xml:space="preserve">Local tools to pay for growth (penny taxes, tolls, local fees)</w:t>
      </w:r>
    </w:p>
    <w:p>
      <w:pPr>
        <w:numPr>
          <w:ilvl w:val="0"/>
          <w:numId w:val="1001"/>
        </w:numPr>
        <w:pStyle w:val="Compact"/>
      </w:pPr>
      <w:r>
        <w:rPr>
          <w:bCs/>
          <w:b/>
        </w:rPr>
        <w:t xml:space="preserve">Bills:</w:t>
      </w:r>
      <w:r>
        <w:t xml:space="preserve"> </w:t>
      </w:r>
      <w:r>
        <w:t xml:space="preserve">35 —</w:t>
      </w:r>
      <w:r>
        <w:t xml:space="preserve"> </w:t>
      </w:r>
      <w:r>
        <w:rPr>
          <w:bCs/>
          <w:b/>
        </w:rPr>
        <w:t xml:space="preserve">Enacted: 4</w:t>
      </w:r>
    </w:p>
    <w:p>
      <w:pPr>
        <w:numPr>
          <w:ilvl w:val="0"/>
          <w:numId w:val="1001"/>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1"/>
        </w:numPr>
        <w:pStyle w:val="Compact"/>
      </w:pPr>
      <w:r>
        <w:t xml:space="preserve">The one genuinely new local tool passed: the County Green Space Sales Tax Act (2021-22 S152, Act 166 of 2022; Senate 43–1 and 41–3, House 67–28) — a voter-approved preservation penny.</w:t>
      </w:r>
    </w:p>
    <w:p>
      <w:pPr>
        <w:numPr>
          <w:ilvl w:val="0"/>
          <w:numId w:val="1001"/>
        </w:numPr>
        <w:pStyle w:val="Compact"/>
      </w:pPr>
      <w:r>
        <w:t xml:space="preserve">Every bill widening the</w:t>
      </w:r>
      <w:r>
        <w:t xml:space="preserve"> </w:t>
      </w:r>
      <w:r>
        <w:rPr>
          <w:iCs/>
          <w:i/>
        </w:rPr>
        <w:t xml:space="preserve">transportation</w:t>
      </w:r>
      <w:r>
        <w:t xml:space="preserve"> </w:t>
      </w:r>
      <w:r>
        <w:t xml:space="preserve">penny died in first committee without a hearing: transit-eligibility clarifications filed in all four sessions (2019-20 S611/H4389, 2021-22 H3535/S437, 2023-24 S290/S562/H4059, 2025-26 S979), penny stacking (2021-22 H3129), eleven-year reimposition (2023-24 S116), grocery exemptions (2023-24 H5188/S1113).</w:t>
      </w:r>
    </w:p>
    <w:p>
      <w:pPr>
        <w:numPr>
          <w:ilvl w:val="0"/>
          <w:numId w:val="1001"/>
        </w:numPr>
        <w:pStyle w:val="Compact"/>
      </w:pPr>
      <w:r>
        <w:t xml:space="preserve">All five I-95 toll bills died in first committee (2019-20 S178/H3739/S780, 2023-24 S499/S674), as did the local-option gas fee (2019-20 S172). The toll framework itself was then rewritten inside the SCDOT Modernization Act (Act 177 of 2026): usage charges only on new-capacity</w:t>
      </w:r>
      <w:r>
        <w:t xml:space="preserve"> </w:t>
      </w:r>
      <w:r>
        <w:t xml:space="preserve">“</w:t>
      </w:r>
      <w:r>
        <w:t xml:space="preserve">choice lanes,</w:t>
      </w:r>
      <w:r>
        <w:t xml:space="preserve">”</w:t>
      </w:r>
      <w:r>
        <w:t xml:space="preserve"> </w:t>
      </w:r>
      <w:r>
        <w:t xml:space="preserve">never on existing free lanes.</w:t>
      </w:r>
    </w:p>
    <w:p>
      <w:pPr>
        <w:numPr>
          <w:ilvl w:val="0"/>
          <w:numId w:val="1001"/>
        </w:numPr>
        <w:pStyle w:val="Compact"/>
      </w:pPr>
      <w:r>
        <w:t xml:space="preserve">Flexibility acts passed at the edges: tourism taxes for flooding and drainage (2019-20 S217, Act 146, 34–2/87–15), beach-parking rules (2021-22 S40, Act 89, 44–0/102–10), the school-buildings penny opened to more counties (2025-26 H4589, Act 203, 81–18/40–2/91–14).</w:t>
      </w:r>
    </w:p>
    <w:bookmarkEnd w:id="32"/>
    <w:bookmarkStart w:id="33" w:name="making-developers-pay-impact-fees-1"/>
    <w:p>
      <w:pPr>
        <w:pStyle w:val="Heading2"/>
      </w:pPr>
      <w:r>
        <w:t xml:space="preserve">Making developers pay (impact fees)</w:t>
      </w:r>
    </w:p>
    <w:p>
      <w:pPr>
        <w:numPr>
          <w:ilvl w:val="0"/>
          <w:numId w:val="1002"/>
        </w:numPr>
        <w:pStyle w:val="Compact"/>
      </w:pPr>
      <w:r>
        <w:rPr>
          <w:bCs/>
          <w:b/>
        </w:rPr>
        <w:t xml:space="preserve">Bills:</w:t>
      </w:r>
      <w:r>
        <w:t xml:space="preserve"> </w:t>
      </w:r>
      <w:r>
        <w:t xml:space="preserve">10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Ten bills over three sessions, in both directions — expanding the 1999 Development Impact Fee Act (2023-24 H4659 residential-only fees, 2025-26 H5088 resurfacing as a fundable cost, 2021-22 H3460 and 2025-26 H4008 gentrification-fund fees, 2021-22 H4943 debt payoff) and narrowing it (2023-24 H4981/S856/H5017 and 2025-26 H3165 cost exclusions, 2025-26 H4672 repeat-buyer exemption).</w:t>
      </w:r>
    </w:p>
    <w:p>
      <w:pPr>
        <w:numPr>
          <w:ilvl w:val="0"/>
          <w:numId w:val="1002"/>
        </w:numPr>
        <w:pStyle w:val="Compact"/>
      </w:pPr>
      <w:r>
        <w:t xml:space="preserve">Zero hearings, zero votes, either direction, eight years — Ways and Means, Finance, Judiciary, and the municipal-affairs committee.</w:t>
      </w:r>
    </w:p>
    <w:p>
      <w:pPr>
        <w:numPr>
          <w:ilvl w:val="0"/>
          <w:numId w:val="1002"/>
        </w:numPr>
        <w:pStyle w:val="Compact"/>
      </w:pPr>
      <w:r>
        <w:t xml:space="preserve">The one enacted impact-fee rule blocked the fees: FY 2021-22 proviso 117.96 barred impact fees on new school construction for one year and was not renewed. No proffer bill has ever been filed.</w:t>
      </w:r>
    </w:p>
    <w:bookmarkEnd w:id="33"/>
    <w:bookmarkStart w:id="34" w:name="X2aa86b2c8a76a52a0c1b54ab6aab649d99f202e"/>
    <w:p>
      <w:pPr>
        <w:pStyle w:val="Heading2"/>
      </w:pPr>
      <w:r>
        <w:t xml:space="preserve">State road money (gas tax, road fees, infrastructure funds)</w:t>
      </w:r>
    </w:p>
    <w:p>
      <w:pPr>
        <w:numPr>
          <w:ilvl w:val="0"/>
          <w:numId w:val="1003"/>
        </w:numPr>
        <w:pStyle w:val="Compact"/>
      </w:pPr>
      <w:r>
        <w:rPr>
          <w:bCs/>
          <w:b/>
        </w:rPr>
        <w:t xml:space="preserve">Bills:</w:t>
      </w:r>
      <w:r>
        <w:t xml:space="preserve"> </w:t>
      </w:r>
      <w:r>
        <w:t xml:space="preserve">26 —</w:t>
      </w:r>
      <w:r>
        <w:t xml:space="preserve"> </w:t>
      </w:r>
      <w:r>
        <w:rPr>
          <w:bCs/>
          <w:b/>
        </w:rPr>
        <w:t xml:space="preserve">Enacted: 2</w:t>
      </w:r>
    </w:p>
    <w:p>
      <w:pPr>
        <w:numPr>
          <w:ilvl w:val="0"/>
          <w:numId w:val="1003"/>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3"/>
        </w:numPr>
        <w:pStyle w:val="Compact"/>
      </w:pPr>
      <w:r>
        <w:t xml:space="preserve">Ten measures against the gas user fee (freeze 2021-22 H4091, repeal 2021-22 H4092, suspensions 2021-22 H5103/H5112 and 2025-26 S1045/H5398/H5419/H5422/H5443/H5475) all died in the money committees without votes — as did the one bill raising the county share (2025-26 H5331) and the EV-fee repeals (2021-22 H4945, 2023-24 H3177).</w:t>
      </w:r>
    </w:p>
    <w:p>
      <w:pPr>
        <w:numPr>
          <w:ilvl w:val="0"/>
          <w:numId w:val="1003"/>
        </w:numPr>
        <w:pStyle w:val="Compact"/>
      </w:pPr>
      <w:r>
        <w:t xml:space="preserve">What passed tightened collection: the infrastructure maintenance fee titling fix (2021-22 H3505, Act 70, 106–4/42–2) and the EV-charging framework (2021-22 S304, Act 46, 43–1/110–2).</w:t>
      </w:r>
    </w:p>
    <w:p>
      <w:pPr>
        <w:numPr>
          <w:ilvl w:val="0"/>
          <w:numId w:val="1003"/>
        </w:numPr>
        <w:pStyle w:val="Compact"/>
      </w:pPr>
      <w:r>
        <w:t xml:space="preserve">The infrastructure-bank restructurings — merging its board with SCDOT’s commission (2019-20 H3418) or abolishing it (2025-26 H4031) — died in Ways and Means.</w:t>
      </w:r>
    </w:p>
    <w:bookmarkEnd w:id="34"/>
    <w:bookmarkStart w:id="35" w:name="fixing-and-maintaining-existing-roads-1"/>
    <w:p>
      <w:pPr>
        <w:pStyle w:val="Heading2"/>
      </w:pPr>
      <w:r>
        <w:t xml:space="preserve">Fixing and maintaining existing roads</w:t>
      </w:r>
    </w:p>
    <w:p>
      <w:pPr>
        <w:numPr>
          <w:ilvl w:val="0"/>
          <w:numId w:val="1004"/>
        </w:numPr>
        <w:pStyle w:val="Compact"/>
      </w:pPr>
      <w:r>
        <w:rPr>
          <w:bCs/>
          <w:b/>
        </w:rPr>
        <w:t xml:space="preserve">Bills:</w:t>
      </w:r>
      <w:r>
        <w:t xml:space="preserve"> </w:t>
      </w:r>
      <w:r>
        <w:t xml:space="preserve">9 —</w:t>
      </w:r>
      <w:r>
        <w:t xml:space="preserve"> </w:t>
      </w:r>
      <w:r>
        <w:rPr>
          <w:bCs/>
          <w:b/>
        </w:rPr>
        <w:t xml:space="preserve">Enacted: 0</w:t>
      </w:r>
    </w:p>
    <w:p>
      <w:pPr>
        <w:numPr>
          <w:ilvl w:val="0"/>
          <w:numId w:val="1004"/>
        </w:numPr>
        <w:pStyle w:val="Compact"/>
      </w:pPr>
      <w:r>
        <w:rPr>
          <w:bCs/>
          <w:b/>
        </w:rPr>
        <w:t xml:space="preserve">Basket:</w:t>
      </w:r>
      <w:r>
        <w:t xml:space="preserve"> </w:t>
      </w:r>
      <w:r>
        <w:t xml:space="preserve">Rarely moved before (bills) —</w:t>
      </w:r>
      <w:r>
        <w:t xml:space="preserve"> </w:t>
      </w:r>
      <w:r>
        <w:rPr>
          <w:bCs/>
          <w:b/>
        </w:rPr>
        <w:t xml:space="preserve">certainty: high</w:t>
      </w:r>
    </w:p>
    <w:p>
      <w:pPr>
        <w:numPr>
          <w:ilvl w:val="0"/>
          <w:numId w:val="1004"/>
        </w:numPr>
        <w:pStyle w:val="Compact"/>
      </w:pPr>
      <w:r>
        <w:t xml:space="preserve">Every standalone maintenance-accountability bill died in first committee: the pavement preservation program (2025-26 H5363), SCDOT must maintain transferred roads (2023-24 H4610), pothole hotlines (2021-22 H3871, 2023-24 H3451), sheriff road-hazard reports (2025-26 H4687), private-road maintenance (2023-24 H3516).</w:t>
      </w:r>
    </w:p>
    <w:p>
      <w:pPr>
        <w:numPr>
          <w:ilvl w:val="0"/>
          <w:numId w:val="1004"/>
        </w:numPr>
        <w:pStyle w:val="Compact"/>
      </w:pPr>
      <w:r>
        <w:t xml:space="preserve">The pothole-reporting design passed inside the SCDOT Modernization Act (2025-26 S831, Act 177 of 2026): the Pothole Mitigation Program (Section 57-5-1800) — public reporting by phone, website, or a free mobile app; a seven-day repair requirement; $15,000,000 a year for full-depth repair of repeat potholes.</w:t>
      </w:r>
    </w:p>
    <w:p>
      <w:pPr>
        <w:numPr>
          <w:ilvl w:val="0"/>
          <w:numId w:val="1004"/>
        </w:numPr>
        <w:pStyle w:val="Compact"/>
      </w:pPr>
      <w:r>
        <w:t xml:space="preserve">The fix-first money moved through budget provisos: the yearly CTC fix-it-first rule (86.1), $417.4M in FY 2024-25, $200M in FY 2025-26, $225M in FY 2026-27, and the new Road Buyback Program (FY 2026-27 proviso 84.18). See Appendix G.</w:t>
      </w:r>
    </w:p>
    <w:bookmarkEnd w:id="35"/>
    <w:bookmarkStart w:id="36" w:name="Xb9e954ee04634366840d520dfd796319467d4bd"/>
    <w:p>
      <w:pPr>
        <w:pStyle w:val="Heading2"/>
      </w:pPr>
      <w:r>
        <w:t xml:space="preserve">Who runs SCDOT (governance and accountability)</w:t>
      </w:r>
    </w:p>
    <w:p>
      <w:pPr>
        <w:numPr>
          <w:ilvl w:val="0"/>
          <w:numId w:val="1005"/>
        </w:numPr>
        <w:pStyle w:val="Compact"/>
      </w:pPr>
      <w:r>
        <w:rPr>
          <w:bCs/>
          <w:b/>
        </w:rPr>
        <w:t xml:space="preserve">Bills:</w:t>
      </w:r>
      <w:r>
        <w:t xml:space="preserve"> </w:t>
      </w:r>
      <w:r>
        <w:t xml:space="preserve">10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The governor-appoints-the-secretary design died unheard in 2019 (H3111) and 2024 (H5045, H4969) — then passed near-unanimously in 2026 as the SCDOT Modernization Act (S831, Act 177: Senate 37–1, House 114–0, conference report 112–2 and 43–0), with Senate leadership carrying it. The commission is abolished January 1, 2027.</w:t>
      </w:r>
    </w:p>
    <w:p>
      <w:pPr>
        <w:numPr>
          <w:ilvl w:val="0"/>
          <w:numId w:val="1005"/>
        </w:numPr>
        <w:pStyle w:val="Compact"/>
      </w:pPr>
      <w:r>
        <w:t xml:space="preserve">Act 177 is an omnibus, not governance alone: it also created the Pothole Mitigation Program (Section 57-5-1800), enacted phased design-build and construction manager/general contractor authority (57-5-1710/1720), rewrote toll rules around new-capacity</w:t>
      </w:r>
      <w:r>
        <w:t xml:space="preserve"> </w:t>
      </w:r>
      <w:r>
        <w:t xml:space="preserve">“</w:t>
      </w:r>
      <w:r>
        <w:t xml:space="preserve">choice lanes,</w:t>
      </w:r>
      <w:r>
        <w:t xml:space="preserve">”</w:t>
      </w:r>
      <w:r>
        <w:t xml:space="preserve"> </w:t>
      </w:r>
      <w:r>
        <w:t xml:space="preserve">authorized public-private partnerships up to sixty years (57-3-205), required an independent external audit of SCDOT every four years, and reset the county</w:t>
      </w:r>
      <w:r>
        <w:t xml:space="preserve"> </w:t>
      </w:r>
      <w:r>
        <w:t xml:space="preserve">“</w:t>
      </w:r>
      <w:r>
        <w:t xml:space="preserve">C</w:t>
      </w:r>
      <w:r>
        <w:t xml:space="preserve">”</w:t>
      </w:r>
      <w:r>
        <w:t xml:space="preserve">-funds split to a thirty-three percent state-highway share.</w:t>
      </w:r>
    </w:p>
    <w:p>
      <w:pPr>
        <w:numPr>
          <w:ilvl w:val="0"/>
          <w:numId w:val="1005"/>
        </w:numPr>
        <w:pStyle w:val="Compact"/>
      </w:pPr>
      <w:r>
        <w:t xml:space="preserve">The House’s own version (2025-26 H5071) was recommitted after floor debate stalled; the dissolve-the-commission bill (2025-26 H5362) and the Lieutenant-Governor-as-secretary design (2023-24 H4629, 2025-26 H3282) died in committee.</w:t>
      </w:r>
    </w:p>
    <w:p>
      <w:pPr>
        <w:numPr>
          <w:ilvl w:val="0"/>
          <w:numId w:val="1005"/>
        </w:numPr>
        <w:pStyle w:val="Compact"/>
      </w:pPr>
      <w:r>
        <w:t xml:space="preserve">SCDOT expenditure-report certification (2021-22 H4090) died in Ways and Means; the project-prioritization regulation resolution (2019-20 H4369) passed the House 107–0 and was recommitted in the Senate.</w:t>
      </w:r>
    </w:p>
    <w:bookmarkEnd w:id="36"/>
    <w:bookmarkStart w:id="37" w:name="X7df26763faa4ee6eb810960960a4de6adc775d9"/>
    <w:p>
      <w:pPr>
        <w:pStyle w:val="Heading2"/>
      </w:pPr>
      <w:r>
        <w:t xml:space="preserve">Road contracts and contractor accountability</w:t>
      </w:r>
    </w:p>
    <w:p>
      <w:pPr>
        <w:numPr>
          <w:ilvl w:val="0"/>
          <w:numId w:val="1006"/>
        </w:numPr>
        <w:pStyle w:val="Compact"/>
      </w:pPr>
      <w:r>
        <w:rPr>
          <w:bCs/>
          <w:b/>
        </w:rPr>
        <w:t xml:space="preserve">Bills:</w:t>
      </w:r>
      <w:r>
        <w:t xml:space="preserve"> </w:t>
      </w:r>
      <w:r>
        <w:t xml:space="preserve">16 —</w:t>
      </w:r>
      <w:r>
        <w:t xml:space="preserve"> </w:t>
      </w:r>
      <w:r>
        <w:rPr>
          <w:bCs/>
          <w:b/>
        </w:rPr>
        <w:t xml:space="preserve">Enacted: 3</w:t>
      </w:r>
    </w:p>
    <w:p>
      <w:pPr>
        <w:numPr>
          <w:ilvl w:val="0"/>
          <w:numId w:val="1006"/>
        </w:numPr>
        <w:pStyle w:val="Compact"/>
      </w:pPr>
      <w:r>
        <w:rPr>
          <w:bCs/>
          <w:b/>
        </w:rPr>
        <w:t xml:space="preserve">Basket:</w:t>
      </w:r>
      <w:r>
        <w:t xml:space="preserve"> </w:t>
      </w:r>
      <w:r>
        <w:t xml:space="preserve">Mixed (edges only) —</w:t>
      </w:r>
      <w:r>
        <w:t xml:space="preserve"> </w:t>
      </w:r>
      <w:r>
        <w:rPr>
          <w:bCs/>
          <w:b/>
        </w:rPr>
        <w:t xml:space="preserve">certainty: medium</w:t>
      </w:r>
    </w:p>
    <w:p>
      <w:pPr>
        <w:numPr>
          <w:ilvl w:val="0"/>
          <w:numId w:val="1006"/>
        </w:numPr>
        <w:pStyle w:val="Compact"/>
      </w:pPr>
      <w:r>
        <w:t xml:space="preserve">The standalone bidding bills never reached a floor vote: design-build pilots (2023-24 H5312, 2025-26 H3560), the 2020 contractor performance-evaluation and disqualification regulation resolutions (S1069, S1070 — stranded on the Senate calendar at COVID), DBE contracting (2019-20 S385/H4401/H4823), the P3 framework (2021-22 H3559).</w:t>
      </w:r>
    </w:p>
    <w:p>
      <w:pPr>
        <w:numPr>
          <w:ilvl w:val="0"/>
          <w:numId w:val="1006"/>
        </w:numPr>
        <w:pStyle w:val="Compact"/>
      </w:pPr>
      <w:r>
        <w:t xml:space="preserve">The method then passed inside the SCDOT Modernization Act (2025-26 S831, Act 177 of 2026): phased design-build (57-5-1710), construction manager/general contractor authority (57-5-1720), P3 agreements capped at sixty years (57-3-205), and a required independent external audit of SCDOT every four years.</w:t>
      </w:r>
    </w:p>
    <w:p>
      <w:pPr>
        <w:numPr>
          <w:ilvl w:val="0"/>
          <w:numId w:val="1006"/>
        </w:numPr>
        <w:pStyle w:val="Compact"/>
      </w:pPr>
      <w:r>
        <w:t xml:space="preserve">Edges passed: utility-relocation costs on road projects (2019-20 S401, Act 36, 38–0/108–0; extended to 2032 by 2025-26 H3768, Act 244, 103–0/44–0) and the contractor-licensing rewrite (2023-24 H4115, Act 69 — licensing, not road bidding).</w:t>
      </w:r>
    </w:p>
    <w:p>
      <w:pPr>
        <w:numPr>
          <w:ilvl w:val="0"/>
          <w:numId w:val="1006"/>
        </w:numPr>
        <w:pStyle w:val="Compact"/>
      </w:pPr>
      <w:r>
        <w:t xml:space="preserve">The transparency tools live in provisos: published project priority lists with methodology (84.8/84.9, yearly) and the Programmed Project Viewer dashboard directive (84.18 FY 2024-25 onward). See Appendix G.</w:t>
      </w:r>
    </w:p>
    <w:bookmarkEnd w:id="37"/>
    <w:bookmarkStart w:id="38" w:name="X03211ec55b043341c378ee4cc5a11691e6df4d3"/>
    <w:p>
      <w:pPr>
        <w:pStyle w:val="Heading2"/>
      </w:pPr>
      <w:r>
        <w:t xml:space="preserve">Transit, rail, and other ways to get around</w:t>
      </w:r>
    </w:p>
    <w:p>
      <w:pPr>
        <w:numPr>
          <w:ilvl w:val="0"/>
          <w:numId w:val="1007"/>
        </w:numPr>
        <w:pStyle w:val="Compact"/>
      </w:pPr>
      <w:r>
        <w:rPr>
          <w:bCs/>
          <w:b/>
        </w:rPr>
        <w:t xml:space="preserve">Bills:</w:t>
      </w:r>
      <w:r>
        <w:t xml:space="preserve"> </w:t>
      </w:r>
      <w:r>
        <w:t xml:space="preserve">17 —</w:t>
      </w:r>
      <w:r>
        <w:t xml:space="preserve"> </w:t>
      </w:r>
      <w:r>
        <w:rPr>
          <w:bCs/>
          <w:b/>
        </w:rPr>
        <w:t xml:space="preserve">Enacted: 1</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Zero hearings on every transit bill across four sessions: complete streets (2019-20 H3656), multimodal feasibility reviews (2021-22 H3051), transit-oriented development (2019-20 H3655, 2023-24 H4013), developer transit stops (2019-20 H3828), four rail commissions/studies (2019-20 S216/H3189, 2021-22 H3937, 2025-26 H4122), the Charlotte connection study (2019-20 S730), commuter rail along highways (2023-24 H5347).</w:t>
      </w:r>
    </w:p>
    <w:p>
      <w:pPr>
        <w:numPr>
          <w:ilvl w:val="0"/>
          <w:numId w:val="1007"/>
        </w:numPr>
        <w:pStyle w:val="Compact"/>
      </w:pPr>
      <w:r>
        <w:t xml:space="preserve">The freight exception: the Shortline Railroad Modernization credit passed the House twice (2021-22 H4817, 106–3; 2023-24 H3737, 65–46) and died in Senate Finance both times.</w:t>
      </w:r>
    </w:p>
    <w:p>
      <w:pPr>
        <w:numPr>
          <w:ilvl w:val="0"/>
          <w:numId w:val="1007"/>
        </w:numPr>
        <w:pStyle w:val="Compact"/>
      </w:pPr>
      <w:r>
        <w:t xml:space="preserve">Enacted at the edges: transit-facility trespass (2025-26 S399, Act 222, 44–0/107–0).</w:t>
      </w:r>
    </w:p>
    <w:bookmarkEnd w:id="38"/>
    <w:bookmarkStart w:id="39" w:name="X2046925edc5eb229ec54e69e2fa6e69d214872a"/>
    <w:p>
      <w:pPr>
        <w:pStyle w:val="Heading2"/>
      </w:pPr>
      <w:r>
        <w:t xml:space="preserve">Planning for growth (zoning, comprehensive plans, annexation)</w:t>
      </w:r>
    </w:p>
    <w:p>
      <w:pPr>
        <w:numPr>
          <w:ilvl w:val="0"/>
          <w:numId w:val="1008"/>
        </w:numPr>
        <w:pStyle w:val="Compact"/>
      </w:pPr>
      <w:r>
        <w:rPr>
          <w:bCs/>
          <w:b/>
        </w:rPr>
        <w:t xml:space="preserve">Bills:</w:t>
      </w:r>
      <w:r>
        <w:t xml:space="preserve"> </w:t>
      </w:r>
      <w:r>
        <w:t xml:space="preserve">27 —</w:t>
      </w:r>
      <w:r>
        <w:t xml:space="preserve"> </w:t>
      </w:r>
      <w:r>
        <w:rPr>
          <w:bCs/>
          <w:b/>
        </w:rPr>
        <w:t xml:space="preserve">Enacted: 1</w:t>
      </w:r>
    </w:p>
    <w:p>
      <w:pPr>
        <w:numPr>
          <w:ilvl w:val="0"/>
          <w:numId w:val="1008"/>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8"/>
        </w:numPr>
        <w:pStyle w:val="Compact"/>
      </w:pPr>
      <w:r>
        <w:t xml:space="preserve">No bill proposes state or regional master planning — the citizens’ lever does not appear in the record (verified against the title scan and full-text discovery).</w:t>
      </w:r>
    </w:p>
    <w:p>
      <w:pPr>
        <w:numPr>
          <w:ilvl w:val="0"/>
          <w:numId w:val="1008"/>
        </w:numPr>
        <w:pStyle w:val="Compact"/>
      </w:pPr>
      <w:r>
        <w:t xml:space="preserve">Enacted: the Disaster Relief and Resilience Act (2019-20 S259, Act 163 of 2020, Senate 44–1, House 65–35) — the state Office of Resilience plus a required resiliency element in local comprehensive plans.</w:t>
      </w:r>
    </w:p>
    <w:p>
      <w:pPr>
        <w:numPr>
          <w:ilvl w:val="0"/>
          <w:numId w:val="1008"/>
        </w:numPr>
        <w:pStyle w:val="Compact"/>
      </w:pPr>
      <w:r>
        <w:t xml:space="preserve">The concurrency design got the furthest of any growth-management bill: 2025-26 S227 was reported favorably and amended on the Senate floor April 29, 2026, then died without completing passage (2023-24 H5562 and 2025-26 H4050 died in committee).</w:t>
      </w:r>
    </w:p>
    <w:p>
      <w:pPr>
        <w:numPr>
          <w:ilvl w:val="0"/>
          <w:numId w:val="1008"/>
        </w:numPr>
        <w:pStyle w:val="Compact"/>
      </w:pPr>
      <w:r>
        <w:t xml:space="preserve">The annexation-control bills (2023-24 H4651 county standing; 2025-26 H5742 infrastructure-study precondition; donut-hole annexation 2021-22 H5196, 2023-24 H3236, 2025-26 H4726) died in committee — and so did the developer-side bills pulling the opposite way (Home Attainability packages, permit shot clocks, TDR bills; 2025-26 S288 reached the Senate calendar).</w:t>
      </w:r>
    </w:p>
    <w:bookmarkEnd w:id="39"/>
    <w:bookmarkStart w:id="40" w:name="Xa6e21532947c42588e6ef3dab8b0789c7c0a62d"/>
    <w:p>
      <w:pPr>
        <w:pStyle w:val="Heading2"/>
      </w:pPr>
      <w:r>
        <w:t xml:space="preserve">Water, sewer, and broadband infrastructure</w:t>
      </w:r>
    </w:p>
    <w:p>
      <w:pPr>
        <w:numPr>
          <w:ilvl w:val="0"/>
          <w:numId w:val="1009"/>
        </w:numPr>
        <w:pStyle w:val="Compact"/>
      </w:pPr>
      <w:r>
        <w:rPr>
          <w:bCs/>
          <w:b/>
        </w:rPr>
        <w:t xml:space="preserve">Bills:</w:t>
      </w:r>
      <w:r>
        <w:t xml:space="preserve"> </w:t>
      </w:r>
      <w:r>
        <w:t xml:space="preserve">14 —</w:t>
      </w:r>
      <w:r>
        <w:t xml:space="preserve"> </w:t>
      </w:r>
      <w:r>
        <w:rPr>
          <w:bCs/>
          <w:b/>
        </w:rPr>
        <w:t xml:space="preserve">Enacted: 1</w:t>
      </w:r>
    </w:p>
    <w:p>
      <w:pPr>
        <w:numPr>
          <w:ilvl w:val="0"/>
          <w:numId w:val="1009"/>
        </w:numPr>
        <w:pStyle w:val="Compact"/>
      </w:pPr>
      <w:r>
        <w:rPr>
          <w:bCs/>
          <w:b/>
        </w:rPr>
        <w:t xml:space="preserve">Basket:</w:t>
      </w:r>
      <w:r>
        <w:t xml:space="preserve"> </w:t>
      </w:r>
      <w:r>
        <w:t xml:space="preserve">Mixed —</w:t>
      </w:r>
      <w:r>
        <w:t xml:space="preserve"> </w:t>
      </w:r>
      <w:r>
        <w:rPr>
          <w:bCs/>
          <w:b/>
        </w:rPr>
        <w:t xml:space="preserve">certainty: medium</w:t>
      </w:r>
    </w:p>
    <w:p>
      <w:pPr>
        <w:numPr>
          <w:ilvl w:val="0"/>
          <w:numId w:val="1009"/>
        </w:numPr>
        <w:pStyle w:val="Compact"/>
      </w:pPr>
      <w:r>
        <w:t xml:space="preserve">The Rural Infrastructure Authority consolidation passed the House 112–0 (2023-24 H3075) and died in Senate Finance; its refile (2025-26 H3373) died in Ways and Means.</w:t>
      </w:r>
    </w:p>
    <w:p>
      <w:pPr>
        <w:numPr>
          <w:ilvl w:val="0"/>
          <w:numId w:val="1009"/>
        </w:numPr>
        <w:pStyle w:val="Compact"/>
      </w:pPr>
      <w:r>
        <w:t xml:space="preserve">The 2019-20 broadband bills (accessibility acts S1076/S1080, broadband offices S1235 and 2021-22 S519, municipal broadband H4993, the rural study committee H4943) died in committee.</w:t>
      </w:r>
    </w:p>
    <w:p>
      <w:pPr>
        <w:numPr>
          <w:ilvl w:val="0"/>
          <w:numId w:val="1009"/>
        </w:numPr>
        <w:pStyle w:val="Compact"/>
      </w:pPr>
      <w:r>
        <w:t xml:space="preserve">Enacted: the Small Wireless Facilities Deployment Act (2019-20 H4262, Act 179 of 2020, 108–2/32–6/104–1) — statewide rules for 5G small cells in rights of way, limiting local zoning control.</w:t>
      </w:r>
    </w:p>
    <w:bookmarkEnd w:id="40"/>
    <w:bookmarkStart w:id="41" w:name="related-context-1"/>
    <w:p>
      <w:pPr>
        <w:pStyle w:val="Heading2"/>
      </w:pPr>
      <w:r>
        <w:t xml:space="preserve">Related context</w:t>
      </w:r>
    </w:p>
    <w:p>
      <w:pPr>
        <w:numPr>
          <w:ilvl w:val="0"/>
          <w:numId w:val="1010"/>
        </w:numPr>
        <w:pStyle w:val="Compact"/>
      </w:pPr>
      <w:r>
        <w:rPr>
          <w:bCs/>
          <w:b/>
        </w:rPr>
        <w:t xml:space="preserve">Bills:</w:t>
      </w:r>
      <w:r>
        <w:t xml:space="preserve"> </w:t>
      </w:r>
      <w:r>
        <w:t xml:space="preserve">14 —</w:t>
      </w:r>
      <w:r>
        <w:t xml:space="preserve"> </w:t>
      </w:r>
      <w:r>
        <w:rPr>
          <w:bCs/>
          <w:b/>
        </w:rPr>
        <w:t xml:space="preserve">Enacted: 2</w:t>
      </w:r>
      <w:r>
        <w:t xml:space="preserve"> </w:t>
      </w:r>
      <w:r>
        <w:t xml:space="preserve">(both local housekeeping)</w:t>
      </w:r>
    </w:p>
    <w:p>
      <w:pPr>
        <w:numPr>
          <w:ilvl w:val="0"/>
          <w:numId w:val="1010"/>
        </w:numPr>
        <w:pStyle w:val="Compact"/>
      </w:pPr>
      <w:r>
        <w:t xml:space="preserve">County Transportation Committee membership bills (the county boards that spend gas-tax</w:t>
      </w:r>
      <w:r>
        <w:t xml:space="preserve"> </w:t>
      </w:r>
      <w:r>
        <w:t xml:space="preserve">“</w:t>
      </w:r>
      <w:r>
        <w:t xml:space="preserve">C</w:t>
      </w:r>
      <w:r>
        <w:t xml:space="preserve">”</w:t>
      </w:r>
      <w:r>
        <w:t xml:space="preserve"> </w:t>
      </w:r>
      <w:r>
        <w:t xml:space="preserve">funds) routinely pass one chamber and finish through the county’s legislative delegation; two became acts (2019-20 H5030, Act 162; 2025-26 S586, Act 269). Kept for audit, excluded from headline counts.</w:t>
      </w:r>
    </w:p>
    <w:p>
      <w:pPr>
        <w:numPr>
          <w:ilvl w:val="0"/>
          <w:numId w:val="1010"/>
        </w:numPr>
        <w:pStyle w:val="Compact"/>
      </w:pPr>
      <w:r>
        <w:t xml:space="preserve">The road-naming process bills (2019-20 S175/S953, 2021-22 S178) — attempts to limit naming roads for living officials — died in committee; naming resolutions dominate this issue’s raw search noise.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carry-overs) are excluded here; the full roll-call list per bill is in the source data. Many bills in this set have no roll calls at all: South Carolina uses voice votes heavily, and an empty vote history is a real answer, not missing data.</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6</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34</w:t>
            </w:r>
          </w:p>
        </w:tc>
        <w:tc>
          <w:tcPr/>
          <w:p>
            <w:pPr>
              <w:pStyle w:val="Compact"/>
              <w:jc w:val="left"/>
            </w:pPr>
            <w:r>
              <w:t xml:space="preserve">2</w:t>
            </w:r>
          </w:p>
        </w:tc>
        <w:tc>
          <w:tcPr/>
          <w:p>
            <w:pPr>
              <w:pStyle w:val="Compact"/>
              <w:jc w:val="left"/>
            </w:pPr>
            <w:r>
              <w:t xml:space="preserve">94%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87</w:t>
            </w:r>
          </w:p>
        </w:tc>
        <w:tc>
          <w:tcPr/>
          <w:p>
            <w:pPr>
              <w:pStyle w:val="Compact"/>
              <w:jc w:val="left"/>
            </w:pPr>
            <w:r>
              <w:t xml:space="preserve">15</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35</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28</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46</w:t>
            </w:r>
          </w:p>
        </w:tc>
        <w:tc>
          <w:tcPr/>
          <w:p>
            <w:pPr>
              <w:pStyle w:val="Compact"/>
              <w:jc w:val="left"/>
            </w:pPr>
            <w:r>
              <w:t xml:space="preserve">59%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90</w:t>
            </w:r>
          </w:p>
        </w:tc>
        <w:tc>
          <w:tcPr/>
          <w:p>
            <w:pPr>
              <w:pStyle w:val="Compact"/>
              <w:jc w:val="left"/>
            </w:pPr>
            <w:r>
              <w:t xml:space="preserve">15</w:t>
            </w:r>
          </w:p>
        </w:tc>
        <w:tc>
          <w:tcPr/>
          <w:p>
            <w:pPr>
              <w:pStyle w:val="Compact"/>
              <w:jc w:val="left"/>
            </w:pPr>
            <w:r>
              <w:t xml:space="preserve">86%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18</w:t>
            </w:r>
          </w:p>
        </w:tc>
        <w:tc>
          <w:tcPr/>
          <w:p>
            <w:pPr>
              <w:pStyle w:val="Compact"/>
              <w:jc w:val="left"/>
            </w:pPr>
            <w:r>
              <w:t xml:space="preserve">82%</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91</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1</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112</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all three policy-set House passages below died in the same room, Senate Finance. (The fourth row is a local county-board bill that finished through the county delegation process.)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House 112–0</w:t>
            </w:r>
          </w:p>
        </w:tc>
        <w:tc>
          <w:tcPr/>
          <w:p>
            <w:pPr>
              <w:pStyle w:val="Compact"/>
              <w:jc w:val="left"/>
            </w:pPr>
            <w:r>
              <w:t xml:space="preserve">Passed the House 112-0; died in Senate Finance</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House 106–3</w:t>
            </w:r>
          </w:p>
        </w:tc>
        <w:tc>
          <w:tcPr/>
          <w:p>
            <w:pPr>
              <w:pStyle w:val="Compact"/>
              <w:jc w:val="left"/>
            </w:pPr>
            <w:r>
              <w:t xml:space="preserve">Passed the House 106-3; died in Senate Finance</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House 78–3</w:t>
            </w:r>
          </w:p>
        </w:tc>
        <w:tc>
          <w:tcPr/>
          <w:p>
            <w:pPr>
              <w:pStyle w:val="Compact"/>
              <w:jc w:val="left"/>
            </w:pPr>
            <w:r>
              <w:t xml:space="preserve">Passed the House; died with the county delegation in the Senate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House 65–46</w:t>
            </w:r>
          </w:p>
        </w:tc>
        <w:tc>
          <w:tcPr/>
          <w:p>
            <w:pPr>
              <w:pStyle w:val="Compact"/>
              <w:jc w:val="left"/>
            </w:pPr>
            <w:r>
              <w:t xml:space="preserve">Passed the House 65-46; died in Senate Finance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Pendarvis</w:t>
            </w:r>
          </w:p>
        </w:tc>
        <w:tc>
          <w:tcPr/>
          <w:p>
            <w:pPr>
              <w:pStyle w:val="Compact"/>
              <w:jc w:val="left"/>
            </w:pPr>
            <w:r>
              <w:t xml:space="preserve">12</w:t>
            </w:r>
          </w:p>
        </w:tc>
        <w:tc>
          <w:tcPr/>
          <w:p>
            <w:pPr>
              <w:pStyle w:val="Compact"/>
              <w:jc w:val="left"/>
            </w:pPr>
            <w:r>
              <w:t xml:space="preserve">2019-20 H3654, 2019-20 H3655, 2019-20 H3656, 2019-20 H3828, 2021-22 H3051, 2021-22 H3129, 2021-22 H4945, 2021-22 H5112, 2023-24 H3177, 2023-24 H4013, 2023-24 H4981, 2023-24 H5347</w:t>
            </w:r>
          </w:p>
        </w:tc>
      </w:tr>
      <w:tr>
        <w:tc>
          <w:tcPr/>
          <w:p>
            <w:pPr>
              <w:pStyle w:val="Compact"/>
              <w:jc w:val="left"/>
            </w:pPr>
            <w:r>
              <w:t xml:space="preserve">Davis</w:t>
            </w:r>
          </w:p>
        </w:tc>
        <w:tc>
          <w:tcPr/>
          <w:p>
            <w:pPr>
              <w:pStyle w:val="Compact"/>
              <w:jc w:val="left"/>
            </w:pPr>
            <w:r>
              <w:t xml:space="preserve">7</w:t>
            </w:r>
          </w:p>
        </w:tc>
        <w:tc>
          <w:tcPr/>
          <w:p>
            <w:pPr>
              <w:pStyle w:val="Compact"/>
              <w:jc w:val="left"/>
            </w:pPr>
            <w:r>
              <w:t xml:space="preserve">2021-22 S152, 2023-24 S562, 2023-24 S792, 2023-24 S856, 2025-26 H3911, 2025-26 S1006, 2025-26 S227</w:t>
            </w:r>
          </w:p>
        </w:tc>
      </w:tr>
      <w:tr>
        <w:tc>
          <w:tcPr/>
          <w:p>
            <w:pPr>
              <w:pStyle w:val="Compact"/>
              <w:jc w:val="left"/>
            </w:pPr>
            <w:r>
              <w:t xml:space="preserve">Hixon</w:t>
            </w:r>
          </w:p>
        </w:tc>
        <w:tc>
          <w:tcPr/>
          <w:p>
            <w:pPr>
              <w:pStyle w:val="Compact"/>
              <w:jc w:val="left"/>
            </w:pPr>
            <w:r>
              <w:t xml:space="preserve">7</w:t>
            </w:r>
          </w:p>
        </w:tc>
        <w:tc>
          <w:tcPr/>
          <w:p>
            <w:pPr>
              <w:pStyle w:val="Compact"/>
              <w:jc w:val="left"/>
            </w:pPr>
            <w:r>
              <w:t xml:space="preserve">2023-24 H3075, 2023-24 H3076, 2023-24 H3077, 2023-24 H3078, 2023-24 H3079, 2023-24 H4610, 2025-26 H3373</w:t>
            </w:r>
          </w:p>
        </w:tc>
      </w:tr>
      <w:tr>
        <w:tc>
          <w:tcPr/>
          <w:p>
            <w:pPr>
              <w:pStyle w:val="Compact"/>
              <w:jc w:val="left"/>
            </w:pPr>
            <w:r>
              <w:t xml:space="preserve">Scott</w:t>
            </w:r>
          </w:p>
        </w:tc>
        <w:tc>
          <w:tcPr/>
          <w:p>
            <w:pPr>
              <w:pStyle w:val="Compact"/>
              <w:jc w:val="left"/>
            </w:pPr>
            <w:r>
              <w:t xml:space="preserve">6</w:t>
            </w:r>
          </w:p>
        </w:tc>
        <w:tc>
          <w:tcPr/>
          <w:p>
            <w:pPr>
              <w:pStyle w:val="Compact"/>
              <w:jc w:val="left"/>
            </w:pPr>
            <w:r>
              <w:t xml:space="preserve">2019-20 S1076, 2019-20 S611, 2019-20 S730, 2021-22 S437, 2021-22 S519, 2023-24 S290</w:t>
            </w:r>
          </w:p>
        </w:tc>
      </w:tr>
      <w:tr>
        <w:tc>
          <w:tcPr/>
          <w:p>
            <w:pPr>
              <w:pStyle w:val="Compact"/>
              <w:jc w:val="left"/>
            </w:pPr>
            <w:r>
              <w:t xml:space="preserve">Stavrinakis</w:t>
            </w:r>
          </w:p>
        </w:tc>
        <w:tc>
          <w:tcPr/>
          <w:p>
            <w:pPr>
              <w:pStyle w:val="Compact"/>
              <w:jc w:val="left"/>
            </w:pPr>
            <w:r>
              <w:t xml:space="preserve">4</w:t>
            </w:r>
          </w:p>
        </w:tc>
        <w:tc>
          <w:tcPr/>
          <w:p>
            <w:pPr>
              <w:pStyle w:val="Compact"/>
              <w:jc w:val="left"/>
            </w:pPr>
            <w:r>
              <w:t xml:space="preserve">2019-20 H3189, 2019-20 H4731, 2021-22 H3937, 2025-26 H5475</w:t>
            </w:r>
          </w:p>
        </w:tc>
      </w:tr>
      <w:tr>
        <w:tc>
          <w:tcPr/>
          <w:p>
            <w:pPr>
              <w:pStyle w:val="Compact"/>
              <w:jc w:val="left"/>
            </w:pPr>
            <w:r>
              <w:t xml:space="preserve">Simrill</w:t>
            </w:r>
          </w:p>
        </w:tc>
        <w:tc>
          <w:tcPr/>
          <w:p>
            <w:pPr>
              <w:pStyle w:val="Compact"/>
              <w:jc w:val="left"/>
            </w:pPr>
            <w:r>
              <w:t xml:space="preserve">4</w:t>
            </w:r>
          </w:p>
        </w:tc>
        <w:tc>
          <w:tcPr/>
          <w:p>
            <w:pPr>
              <w:pStyle w:val="Compact"/>
              <w:jc w:val="left"/>
            </w:pPr>
            <w:r>
              <w:t xml:space="preserve">2019-20 H4262, 2019-20 H4482, 2019-20 H5150, 2021-22 H3505</w:t>
            </w:r>
          </w:p>
        </w:tc>
      </w:tr>
      <w:tr>
        <w:tc>
          <w:tcPr/>
          <w:p>
            <w:pPr>
              <w:pStyle w:val="Compact"/>
              <w:jc w:val="left"/>
            </w:pPr>
            <w:r>
              <w:t xml:space="preserve">Burns</w:t>
            </w:r>
          </w:p>
        </w:tc>
        <w:tc>
          <w:tcPr/>
          <w:p>
            <w:pPr>
              <w:pStyle w:val="Compact"/>
              <w:jc w:val="left"/>
            </w:pPr>
            <w:r>
              <w:t xml:space="preserve">4</w:t>
            </w:r>
          </w:p>
        </w:tc>
        <w:tc>
          <w:tcPr/>
          <w:p>
            <w:pPr>
              <w:pStyle w:val="Compact"/>
              <w:jc w:val="left"/>
            </w:pPr>
            <w:r>
              <w:t xml:space="preserve">2019-20 H4598, 2019-20 H4732, 2023-24 H4652, 2025-26 H3215</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S757, 2021-22 S528, 2023-24 S4, 2025-26 S4</w:t>
            </w:r>
          </w:p>
        </w:tc>
      </w:tr>
      <w:tr>
        <w:tc>
          <w:tcPr/>
          <w:p>
            <w:pPr>
              <w:pStyle w:val="Compact"/>
              <w:jc w:val="left"/>
            </w:pPr>
            <w:r>
              <w:t xml:space="preserve">Grooms</w:t>
            </w:r>
          </w:p>
        </w:tc>
        <w:tc>
          <w:tcPr/>
          <w:p>
            <w:pPr>
              <w:pStyle w:val="Compact"/>
              <w:jc w:val="left"/>
            </w:pPr>
            <w:r>
              <w:t xml:space="preserve">4</w:t>
            </w:r>
          </w:p>
        </w:tc>
        <w:tc>
          <w:tcPr/>
          <w:p>
            <w:pPr>
              <w:pStyle w:val="Compact"/>
              <w:jc w:val="left"/>
            </w:pPr>
            <w:r>
              <w:t xml:space="preserve">2021-22 S40, 2023-24 S269, 2025-26 S298, 2025-26 S831</w:t>
            </w:r>
          </w:p>
        </w:tc>
      </w:tr>
      <w:tr>
        <w:tc>
          <w:tcPr/>
          <w:p>
            <w:pPr>
              <w:pStyle w:val="Compact"/>
              <w:jc w:val="left"/>
            </w:pPr>
            <w:r>
              <w:t xml:space="preserve">Brewer</w:t>
            </w:r>
          </w:p>
        </w:tc>
        <w:tc>
          <w:tcPr/>
          <w:p>
            <w:pPr>
              <w:pStyle w:val="Compact"/>
              <w:jc w:val="left"/>
            </w:pPr>
            <w:r>
              <w:t xml:space="preserve">4</w:t>
            </w:r>
          </w:p>
        </w:tc>
        <w:tc>
          <w:tcPr/>
          <w:p>
            <w:pPr>
              <w:pStyle w:val="Compact"/>
              <w:jc w:val="left"/>
            </w:pPr>
            <w:r>
              <w:t xml:space="preserve">2023-24 H5312, 2025-26 H3560, 2025-26 H3768, 2025-26 H4057</w:t>
            </w:r>
          </w:p>
        </w:tc>
      </w:tr>
      <w:tr>
        <w:tc>
          <w:tcPr/>
          <w:p>
            <w:pPr>
              <w:pStyle w:val="Compact"/>
              <w:jc w:val="left"/>
            </w:pPr>
            <w:r>
              <w:t xml:space="preserve">White</w:t>
            </w:r>
          </w:p>
        </w:tc>
        <w:tc>
          <w:tcPr/>
          <w:p>
            <w:pPr>
              <w:pStyle w:val="Compact"/>
              <w:jc w:val="left"/>
            </w:pPr>
            <w:r>
              <w:t xml:space="preserve">4</w:t>
            </w:r>
          </w:p>
        </w:tc>
        <w:tc>
          <w:tcPr/>
          <w:p>
            <w:pPr>
              <w:pStyle w:val="Compact"/>
              <w:jc w:val="left"/>
            </w:pPr>
            <w:r>
              <w:t xml:space="preserve">2025-26 H4687, 2025-26 H5331, 2025-26 H5362, 2025-26 H5363</w:t>
            </w:r>
          </w:p>
        </w:tc>
      </w:tr>
      <w:tr>
        <w:tc>
          <w:tcPr/>
          <w:p>
            <w:pPr>
              <w:pStyle w:val="Compact"/>
              <w:jc w:val="left"/>
            </w:pPr>
            <w:r>
              <w:t xml:space="preserve">Johnson</w:t>
            </w:r>
          </w:p>
        </w:tc>
        <w:tc>
          <w:tcPr/>
          <w:p>
            <w:pPr>
              <w:pStyle w:val="Compact"/>
              <w:jc w:val="left"/>
            </w:pPr>
            <w:r>
              <w:t xml:space="preserve">3</w:t>
            </w:r>
          </w:p>
        </w:tc>
        <w:tc>
          <w:tcPr/>
          <w:p>
            <w:pPr>
              <w:pStyle w:val="Compact"/>
              <w:jc w:val="left"/>
            </w:pPr>
            <w:r>
              <w:t xml:space="preserve">2019-20 S178, 2025-26 S288, 2025-26 S530</w:t>
            </w:r>
          </w:p>
        </w:tc>
      </w:tr>
      <w:tr>
        <w:tc>
          <w:tcPr/>
          <w:p>
            <w:pPr>
              <w:pStyle w:val="Compact"/>
              <w:jc w:val="left"/>
            </w:pPr>
            <w:r>
              <w:t xml:space="preserve">Hutto</w:t>
            </w:r>
          </w:p>
        </w:tc>
        <w:tc>
          <w:tcPr/>
          <w:p>
            <w:pPr>
              <w:pStyle w:val="Compact"/>
              <w:jc w:val="left"/>
            </w:pPr>
            <w:r>
              <w:t xml:space="preserve">3</w:t>
            </w:r>
          </w:p>
        </w:tc>
        <w:tc>
          <w:tcPr/>
          <w:p>
            <w:pPr>
              <w:pStyle w:val="Compact"/>
              <w:jc w:val="left"/>
            </w:pPr>
            <w:r>
              <w:t xml:space="preserve">2019-20 S780, 2023-24 S499, 2023-24 S674</w:t>
            </w:r>
          </w:p>
        </w:tc>
      </w:tr>
      <w:tr>
        <w:tc>
          <w:tcPr/>
          <w:p>
            <w:pPr>
              <w:pStyle w:val="Compact"/>
              <w:jc w:val="left"/>
            </w:pPr>
            <w:r>
              <w:t xml:space="preserve">J.L. Johnson</w:t>
            </w:r>
          </w:p>
        </w:tc>
        <w:tc>
          <w:tcPr/>
          <w:p>
            <w:pPr>
              <w:pStyle w:val="Compact"/>
              <w:jc w:val="left"/>
            </w:pPr>
            <w:r>
              <w:t xml:space="preserve">3</w:t>
            </w:r>
          </w:p>
        </w:tc>
        <w:tc>
          <w:tcPr/>
          <w:p>
            <w:pPr>
              <w:pStyle w:val="Compact"/>
              <w:jc w:val="left"/>
            </w:pPr>
            <w:r>
              <w:t xml:space="preserve">2021-22 H3871, 2023-24 H3451, 2025-26 H5744</w:t>
            </w:r>
          </w:p>
        </w:tc>
      </w:tr>
      <w:tr>
        <w:tc>
          <w:tcPr/>
          <w:p>
            <w:pPr>
              <w:pStyle w:val="Compact"/>
              <w:jc w:val="left"/>
            </w:pPr>
            <w:r>
              <w:t xml:space="preserve">Haddon</w:t>
            </w:r>
          </w:p>
        </w:tc>
        <w:tc>
          <w:tcPr/>
          <w:p>
            <w:pPr>
              <w:pStyle w:val="Compact"/>
              <w:jc w:val="left"/>
            </w:pPr>
            <w:r>
              <w:t xml:space="preserve">3</w:t>
            </w:r>
          </w:p>
        </w:tc>
        <w:tc>
          <w:tcPr/>
          <w:p>
            <w:pPr>
              <w:pStyle w:val="Compact"/>
              <w:jc w:val="left"/>
            </w:pPr>
            <w:r>
              <w:t xml:space="preserve">2021-22 H4090, 2021-22 H4091, 2021-22 H4092</w:t>
            </w:r>
          </w:p>
        </w:tc>
      </w:tr>
      <w:tr>
        <w:tc>
          <w:tcPr/>
          <w:p>
            <w:pPr>
              <w:pStyle w:val="Compact"/>
              <w:jc w:val="left"/>
            </w:pPr>
            <w:r>
              <w:t xml:space="preserve">Bustos</w:t>
            </w:r>
          </w:p>
        </w:tc>
        <w:tc>
          <w:tcPr/>
          <w:p>
            <w:pPr>
              <w:pStyle w:val="Compact"/>
              <w:jc w:val="left"/>
            </w:pPr>
            <w:r>
              <w:t xml:space="preserve">3</w:t>
            </w:r>
          </w:p>
        </w:tc>
        <w:tc>
          <w:tcPr/>
          <w:p>
            <w:pPr>
              <w:pStyle w:val="Compact"/>
              <w:jc w:val="left"/>
            </w:pPr>
            <w:r>
              <w:t xml:space="preserve">2021-22 H5196, 2023-24 H3236, 2025-26 H4726</w:t>
            </w:r>
          </w:p>
        </w:tc>
      </w:tr>
      <w:tr>
        <w:tc>
          <w:tcPr/>
          <w:p>
            <w:pPr>
              <w:pStyle w:val="Compact"/>
              <w:jc w:val="left"/>
            </w:pPr>
            <w:r>
              <w:t xml:space="preserve">Gilliam</w:t>
            </w:r>
          </w:p>
        </w:tc>
        <w:tc>
          <w:tcPr/>
          <w:p>
            <w:pPr>
              <w:pStyle w:val="Compact"/>
              <w:jc w:val="left"/>
            </w:pPr>
            <w:r>
              <w:t xml:space="preserve">3</w:t>
            </w:r>
          </w:p>
        </w:tc>
        <w:tc>
          <w:tcPr/>
          <w:p>
            <w:pPr>
              <w:pStyle w:val="Compact"/>
              <w:jc w:val="left"/>
            </w:pPr>
            <w:r>
              <w:t xml:space="preserve">2023-24 H3119, 2025-26 H3344, 2025-26 H4589</w:t>
            </w:r>
          </w:p>
        </w:tc>
      </w:tr>
      <w:tr>
        <w:tc>
          <w:tcPr/>
          <w:p>
            <w:pPr>
              <w:pStyle w:val="Compact"/>
              <w:jc w:val="left"/>
            </w:pPr>
            <w:r>
              <w:t xml:space="preserve">M.M. Smith</w:t>
            </w:r>
          </w:p>
        </w:tc>
        <w:tc>
          <w:tcPr/>
          <w:p>
            <w:pPr>
              <w:pStyle w:val="Compact"/>
              <w:jc w:val="left"/>
            </w:pPr>
            <w:r>
              <w:t xml:space="preserve">3</w:t>
            </w:r>
          </w:p>
        </w:tc>
        <w:tc>
          <w:tcPr/>
          <w:p>
            <w:pPr>
              <w:pStyle w:val="Compact"/>
              <w:jc w:val="left"/>
            </w:pPr>
            <w:r>
              <w:t xml:space="preserve">2023-24 H4996, 2025-26 H4146, 2025-26 H5419</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Reps. Caskey, Magnuson, Wooten, Morgan, Mace, Jones and Hill</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Reps. McCoy, S. Williams, Sottile, Erickson, Bradley, Mace, Cogswell, Hixon and G.R. Smith</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Reps. Stavrinakis, Clyburn and Norrell</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Reps. Yow, Thayer and Hewitt</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Reps. Toole and Forrest</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Reps. Pendarvis, Moore, Rivers and S. Williams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Reps. Pendarvis, Moore, S. Williams, Garvin, Cogswell, Rose and Bernstein</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Reps. Ridgeway, McKnight, Alexander and Wheeler</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Reps. Loftis, Stringer, V.S. Moss, Elliott, Trantham and Yow</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Reps. Simrill, Rutherford, Sandifer, Forrester, West, Jefferson, R. Williams, Anderson, Weeks, G.R. Smith, S. Williams and Gilliard</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Regulations and Administrative Procedures Committee</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Reps. Thigpen and Hart</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Reps. Jefferson, Hosey, Garvin, Cobb-Hunter, Gilliard, Henegan, Alexander, Rivers, S. Williams, Pendarvis, R. Williams, Moore, Robinson, Dillard, Ridgeway and Wheeler</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Reps. Fry, Clemmons, Crawford, Bailey, Hewitt, Atkinson, Anderson, McGinnis, Johnson, Hardee and Hayes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Reps. Burns, Long and Chumley</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Reps. Cogswell, Pendarvis and Thigpen</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Rep. Collins</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Reps. Stavrinakis and Cogswell</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Reps. Burns, Chumley, Elliott, Robinson, Rose, Toole and Dillard</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Reps. Weeks, King, McDaniel, Pendarvis and Brown</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Reps. Sandifer, Spires, Forrester, Stavrinakis, Jefferson, Erickson, Willis, Johnson, McCoy, Ridgeway, Hardee, Mack, Simrill, Hewitt, Bailey, Allison, Ott, Clary, Forrest, Kimmons, Lowe, B. Newton, Hixon, W. Newton an…</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Reps. Bamberg, Henegan, King, Brawley and Henderson-Myers</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Rep. Simrill</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Senators Scott, Hembree, Campsen, McElveen, Rice, Sheheen, Cromer, Peeler, Shealy, Grooms, Williams, Malloy, Sabb, Campbell, Jackson, Kimpson, McLeod, M.B. Matthews, Allen, Gregory, Setzler, Johnson, Nicholson, Hutto,…</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Senator Cromer</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Senators Sheheen and Jackson</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Senator Hembree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Senators Johnson, Hutto, Harpootlian and Gregory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Senator Kimpson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Senators Kimpson, Campsen, Senn and Scott</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Senators Goldfinch, Campsen, Kimpson, Senn and Campbell</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Senator J. Matthews</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Senators Campbell and Scott</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Senator Campbell</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Senator Setzler</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Senators M.B. Matthews, Hutto, Grooms, Campbell, Campsen, Hembree, Cromer, J. Matthews, Sabb, Rankin, Reese and Kimpson</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Senators Gambrell, Alexander and Hutto</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Senator Hutto</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Senator Alexander</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Senators Loftis, Corbin, Turner and Verdin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Rep. S. Williams</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Rep. Simrill</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Rep. Thigpen</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Reps. J. Moore, Pendarvis, M.M. Smith and Cogswell</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Reps. Govan, Simrill, Pendarvis, Sandifer, McDaniel, Robinson, Henderson-Myers, Garvin, Thayer, Matthews, Henegan, Brawley, J.L. Johnson, Howard, Anderson, Rivers, S. Williams, Gilliard, Murray, Jefferson, R. Williams…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Rep. J.L. Johnson</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Reps. Stavrinakis and Wetmore</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Reps. Haddon, Finlay, Ligon, Long, Burns, Magnuson and Hill</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Reps. Haddon, Burns, Chumley, Long, Morgan, Magnuson and Hill</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Reps. Haddon, Long, Chumley, Morgan, Burns, Oremus, Jones and Willis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Reps. Whitmire and Carter</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Reps. Ligon, Simrill, McGarry, B. Newton, Atkinson, R. Williams, Wheeler, Hardee, Gagnon, Hill, Huggins, Taylor and Blackwell</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Reps. Felder, Simrill, King, B. Newton, McGarry, Pope and Ligon</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Reps. Jones, Fry, Long, May, Haddon, Morgan, McCabe, Dabney, M.M. Smith, Willis, B. Cox, Oremus, Bennett, Nutt, Magnuson, Bustos, Huggins, Hiott, Burns, Hardee and Forrest</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Reps. Pendarvis, Bailey, Matthews, Henegan, Garvin, Hosey, Jones, Govan, Bustos, Long, B. Cox, R. Williams, Chumley, Gilliam, Haddon, King, Henderson-Myers, Howard, Burns, Elliott, Robinson, Hixon and Tedder</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Rep. Bustos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Senators Davis, Campsen, Goldfinch, Senn, M. Johnson, Hutto, Malloy, Harpootlian, Cromer, Matthews, K. Johnson, Rice, Hembree, Scott, Climer and Kimpson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Senators Scott, Jackson, Sabb, Malloy, K. Johnson, Williams, Matthews, Hutto, Rankin and Fanning</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Senators Jackson, Loftis, Climer, Stephens, Matthews, McLeod, Hutto, Kimbrell and Gambrell</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Reps. Hixon, W. Newton, Mitchell, Yow and Brewer</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Reps. Hixon, W. Newton, Mitchell, Yow, Dillard and W. Jones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Reps. Gilliam, Pope, McCravy, Taylor, Pace, Leber and Landing</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Reps. Bustos and O’Neal</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Rep. J.L. Johnson</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Reps. Rivers, Gilliard, Williams, Henegan, Hosey, Cobb-Hunter, Jefferson, Anderson and Kirby</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Reps. Ligon, Haddon, B. Newton, Neese, O’Neal, Pope, Felder, Guffey, West, Hyde, Henegan, Williams, Atkinson, Herbkersman, Weeks, Wheeler, Gagnon and Taylor</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Reps. W. Newton, Bradley, Erickson, Herbkersman, Rivers and Hager</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Reps. Hixon, Carter, Clyburn and Guffey</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Reps. Magnuson, A.M. Morgan, Pace, Cromer, Beach, Oremus, Kilmartin, S. Jones and White</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Reps. Burns and Nutt</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Reps. McGinnis, Bailey, Schuessler, Hardee and Brittain</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Reps. Caskey, Brewer, Bustos, B.L. Cox, Gatch, Guest, Guffey, Hartnett, Landing, Lawson, Leber, Mitchell, T. Moore, Murphy, Nutt, Sessions, Wooten and Neese</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Reps. M.M. Smith, Guest, Chapman, Hartnett, Stavrinakis, B.L. Cox, Kirby, Davis and Wetmore</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Reps. Wooten, J.L. Johnson, Collins, Chumley, Hiott, Sandifer and Kilmartin</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Reps. T.A. Morgan, White, Cromer, Magnuson, Harris, May, Trantham and McCabe</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Reps. Thayer, West, Beach, Chapman, Cromer and Gagnon</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Reps. Brewer, Murphy, Mitchell, Yow, Sessions, Guffey, Leber, Bustos, Brittain, Guest, Bradley, Haddon, Herbkersman and G.M. Smith</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Rep. West</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Reps. Pendarvis and Williams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Reps. Gilliard and Williams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Reps. Wetmore, Stavrinakis and Bustos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Senators Gambrell and Cash</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Senator Hembree</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Senators Grooms and Gambrell</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Senators Scott, Davis, Young and Senn</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Senators Hutto and K. Johnson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Senators Hutto and Stephens</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Rep. Wooten</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Reps. Burns, Martin, McCravy, Long and Edgerton</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Reps. Magnuson, Beach, Huff, Gilreath, Pace, Edgerton, Frank, Kilmartin, White and Cromer</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Reps. Gilliam, Pope, C. Mitchell, Pedalino, McCravy and Taylor</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Rep. Hixon</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Reps. Brewer, Murphy, Robbins and Mitchell</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Reps. Brewer, Gatch, Robbins, Schuessler, Sessions and Kirby</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Rep. Gatch</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Reps. Henderson-Myers, Jones, Hosey, McDaniel, J.L. Johnson, Govan, Clyburn, Spann-Wilder, Garvin, Gilliard, Anderson, Alexander, J. Moore and Rutherford</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Reps. Kilmartin, White, Gilreath and Cromer</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Reps. Wetmore, Stavrinakis, Bustos, Hartnett, Teeple, Sanders, Bauer, B. Newton, Ballentine, Terribile, M.M. Smith, Lastinger, W. Newton, Herbkersman, Erickson and Bradley</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Rep. Clyburn</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Reps. M.M. Smith, W. Newton, Davis, Guest, Wetmore, B. Newton, Herbkersman, Sanders, Bauer, Stavrinakis, Brewer and Ford</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Reps. Martin, Terribile, Sanders, White, Kilmartin, Edgerton and Beach</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Rep. Gilliam</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Reps. Guffey and Pope</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Reps. White, Edgerton and Magnuson</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Rep. Bustos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Reps. Pace, D. Mitchell, Kilmartin, Edgerton, Beach, Morgan, Burns, Cromer, Huff, Frank, Terribile, Chumley, Magnuson and Gilreath</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Reps. Erickson, Crawford, G.M. Smith, Willis, Kirby, Garvin, Hixon, Montgomery, Martin, Brewer, Teeple, Bradley, Gilliam, Robbins, Hiott, B. Newton, Rankin, Hager, Sessions, Hewitt, Landing, Bowers, Wooten, Guffey, Ta…</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Reps. Sanders, Duncan, Chapman, Gilreath, Pedalino, Cromer, Huff, Wickensimer, White and Lastinger</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Reps. White, Frank, Gilreath, Magnuson, Ford, Huff, Pace, Kilmartin, Terribile, Burns, Lastinger, McCabe, Morgan, Beach, D. Mitchell and Chumley</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Reps. White, Frank, Cromer, Kilmartin, Edgerton, Gilreath, Beach, Magnuson, Pace, D. Mitchell, Burns, Terribile, Chumley and Harris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Reps. White, Cromer, Kilmartin, Edgerton, Gilreath, Beach, Frank, Pace, D. Mitchell, Burns, Terribile, Chumley and Harris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Reps. Pace, Frank, Beach, Burns, Chumley, Cromer, Gilreath, Harris, McCabe, Edgerton, Magnuson, Kilmartin, D. Mitchell, Huff, Morgan, White and Terribile</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Reps. M.M. Smith, Bamberg, Burns, McDaniel, Williams, Gilliard, King, Rivers, Bradley, Beach, Cromer, Holman, Ford, Scott, Bustos, Hayes, Anderson, Teeple, Clyburn, Gatch, Hardee, Oremus, Atkinson, Hartnett, Henderson…</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Reps. Dillard, Alexander, Anderson, Atkinson, Bauer, Bernstein, Clyburn, Cobb-Hunter, Garvin, Govan, Henderson-Myers, Jones, King, Reese, Scott and Waters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Reps. Frank and McCravy</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Reps. Stavrinakis, Wetmore and Bernstein</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Rep. Bowers</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Senators Ott, Zell and Kimbrell</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Senators Davis, Kimbrell, Matthews, Turner, Young, Grooms and Campsen</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Senators Johnson, Turner, Graham, Davis, Grooms and Young</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Senators Elliott, Hembree, Reichenbach and Walker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Senator Johnson</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Senators Grooms, Jackson, Kimbrell, Sutton and Bennett</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Senators Sutton and Grooms</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s831-scdot-modernization"/>
    <w:p>
      <w:pPr>
        <w:pStyle w:val="Heading2"/>
      </w:pPr>
      <w:r>
        <w:t xml:space="preserve">2025-26 S831 — SCDOT Modernization</w:t>
      </w:r>
    </w:p>
    <w:p>
      <w:pPr>
        <w:pStyle w:val="FirstParagraph"/>
      </w:pPr>
      <w:r>
        <w:rPr>
          <w:iCs/>
          <w:i/>
        </w:rPr>
        <w:t xml:space="preserve">The SCDOT Modernization Act (Act 177 of 2026): the Governor now appoints the Secretary of Transportation and the seven-member commission is abolished January 1, 2027, its duties devolved to the secretary - plus a Pothole Mitigation Program (seven-day repairs, $15 million a year), phased design-build contracting,</w:t>
      </w:r>
      <w:r>
        <w:rPr>
          <w:iCs/>
          <w:i/>
        </w:rPr>
        <w:t xml:space="preserve"> </w:t>
      </w:r>
      <w:r>
        <w:rPr>
          <w:iCs/>
          <w:i/>
        </w:rPr>
        <w:t xml:space="preserve">‘</w:t>
      </w:r>
      <w:r>
        <w:rPr>
          <w:iCs/>
          <w:i/>
        </w:rPr>
        <w:t xml:space="preserve">choice lane</w:t>
      </w:r>
      <w:r>
        <w:rPr>
          <w:iCs/>
          <w:i/>
        </w:rPr>
        <w:t xml:space="preserve">’</w:t>
      </w:r>
      <w:r>
        <w:rPr>
          <w:iCs/>
          <w:i/>
        </w:rPr>
        <w:t xml:space="preserve"> </w:t>
      </w:r>
      <w:r>
        <w:rPr>
          <w:iCs/>
          <w:i/>
        </w:rPr>
        <w:t xml:space="preserve">toll rules, public-private partnership authority, a four-year outside audit, and a rewritten county</w:t>
      </w:r>
      <w:r>
        <w:rPr>
          <w:iCs/>
          <w:i/>
        </w:rPr>
        <w:t xml:space="preserve"> </w:t>
      </w:r>
      <w:r>
        <w:rPr>
          <w:iCs/>
          <w:i/>
        </w:rPr>
        <w:t xml:space="preserve">‘</w:t>
      </w:r>
      <w:r>
        <w:rPr>
          <w:iCs/>
          <w:i/>
        </w:rPr>
        <w:t xml:space="preserve">C</w:t>
      </w:r>
      <w:r>
        <w:rPr>
          <w:iCs/>
          <w:i/>
        </w:rPr>
        <w:t xml:space="preserve">’</w:t>
      </w:r>
      <w:r>
        <w:rPr>
          <w:iCs/>
          <w:i/>
        </w:rPr>
        <w:t xml:space="preserve">-funds split.</w:t>
      </w:r>
      <w:r>
        <w:t xml:space="preserve"> </w:t>
      </w:r>
      <w:r>
        <w:t xml:space="preserve">— Became law (Act 177)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3/4/2026</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3/10/2026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Roll call Ayes-37 Nays-1</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Senate insists upon amendment and conference committee appointed Grooms, Bennett, Walker</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House insists upon amendment and conference committee appointed Reps. Bannister, Erickson, Brewer</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Roll call Yeas-112 Nays-2</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5/14/2026</w:t>
            </w:r>
          </w:p>
        </w:tc>
        <w:tc>
          <w:tcPr/>
          <w:p>
            <w:pPr>
              <w:pStyle w:val="Compact"/>
              <w:jc w:val="left"/>
            </w:pPr>
            <w:r>
              <w:t xml:space="preserve">—</w:t>
            </w:r>
          </w:p>
        </w:tc>
        <w:tc>
          <w:tcPr/>
          <w:p>
            <w:pPr>
              <w:pStyle w:val="Compact"/>
              <w:jc w:val="left"/>
            </w:pPr>
            <w:r>
              <w:t xml:space="preserve">Ratified R 156</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49"/>
    <w:bookmarkStart w:id="50" w:name="h5071-department-of-transportation"/>
    <w:p>
      <w:pPr>
        <w:pStyle w:val="Heading2"/>
      </w:pPr>
      <w:r>
        <w:t xml:space="preserve">2025-26 H5071 — Department of Transportation</w:t>
      </w:r>
    </w:p>
    <w:p>
      <w:pPr>
        <w:pStyle w:val="FirstParagraph"/>
      </w:pPr>
      <w:r>
        <w:rPr>
          <w:iCs/>
          <w:i/>
        </w:rPr>
        <w:t xml:space="preserve">House companion to the SCDOT governance overhaul: the Governor, not the commission, would appoint the Secretary of Transportation.</w:t>
      </w:r>
      <w:r>
        <w:t xml:space="preserve"> </w:t>
      </w:r>
      <w:r>
        <w:t xml:space="preserve">— Reported out of House Ways and Means; recommitted after floor debate stalled - the Senate’s S831 passed instead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Recommitted to Committee on Ways and Means</w:t>
            </w:r>
          </w:p>
        </w:tc>
      </w:tr>
    </w:tbl>
    <w:bookmarkEnd w:id="50"/>
    <w:bookmarkStart w:id="51" w:name="s152-county-green-space-sales-tax-act"/>
    <w:p>
      <w:pPr>
        <w:pStyle w:val="Heading2"/>
      </w:pPr>
      <w:r>
        <w:t xml:space="preserve">2021-22 S152 — County Green Space Sales Tax Act</w:t>
      </w:r>
    </w:p>
    <w:p>
      <w:pPr>
        <w:pStyle w:val="FirstParagraph"/>
      </w:pPr>
      <w:r>
        <w:rPr>
          <w:iCs/>
          <w:i/>
        </w:rPr>
        <w:t xml:space="preserve">The County Green Space Sales Tax Act (Act 166 of 2022): created a new voter-approved local penny tax counties can use to buy and preserve green space - the one new local funding tool enacted in this record.</w:t>
      </w:r>
      <w:r>
        <w:t xml:space="preserve"> </w:t>
      </w:r>
      <w:r>
        <w:t xml:space="preserve">— Became law (Act 166)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Nays-28</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w:t>
            </w:r>
          </w:p>
        </w:tc>
        <w:tc>
          <w:tcPr/>
          <w:p>
            <w:pPr>
              <w:pStyle w:val="Compact"/>
              <w:jc w:val="left"/>
            </w:pPr>
            <w:r>
              <w:t xml:space="preserve">Ratified R 166</w:t>
            </w:r>
          </w:p>
        </w:tc>
      </w:tr>
      <w:tr>
        <w:tc>
          <w:tcPr/>
          <w:p>
            <w:pPr>
              <w:pStyle w:val="Compact"/>
              <w:jc w:val="left"/>
            </w:pPr>
            <w:r>
              <w:t xml:space="preserve">5/16/2022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1"/>
    <w:bookmarkStart w:id="52" w:name="s259-sc-resilience-revolving-fund-act"/>
    <w:p>
      <w:pPr>
        <w:pStyle w:val="Heading2"/>
      </w:pPr>
      <w:r>
        <w:t xml:space="preserve">2019-20 S259 — SC Resilience Revolving Fund Act</w:t>
      </w:r>
    </w:p>
    <w:p>
      <w:pPr>
        <w:pStyle w:val="FirstParagraph"/>
      </w:pPr>
      <w:r>
        <w:rPr>
          <w:iCs/>
          <w:i/>
        </w:rPr>
        <w:t xml:space="preserve">The Disaster Relief and Resilience Act (Act 163 of 2020): created the state Office of Resilience with a statewide resilience plan, and required local comprehensive plans to add a resiliency element.</w:t>
      </w:r>
      <w:r>
        <w:t xml:space="preserve"> </w:t>
      </w:r>
      <w:r>
        <w:t xml:space="preserve">— Became law (Act 163)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3/5/2019</w:t>
            </w:r>
          </w:p>
        </w:tc>
        <w:tc>
          <w:tcPr/>
          <w:p>
            <w:pPr>
              <w:pStyle w:val="Compact"/>
              <w:jc w:val="left"/>
            </w:pPr>
            <w:r>
              <w:t xml:space="preserve">Senate</w:t>
            </w:r>
          </w:p>
        </w:tc>
        <w:tc>
          <w:tcPr/>
          <w:p>
            <w:pPr>
              <w:pStyle w:val="Compact"/>
              <w:jc w:val="left"/>
            </w:pPr>
            <w:r>
              <w:t xml:space="preserve">Committee report: Favorable with amendment Agriculture and Natural Resources</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3/20/2019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Recalled from Committee on Labor, Commerce and Industry</w:t>
            </w:r>
          </w:p>
        </w:tc>
      </w:tr>
      <w:tr>
        <w:tc>
          <w:tcPr/>
          <w:p>
            <w:pPr>
              <w:pStyle w:val="Compact"/>
              <w:jc w:val="left"/>
            </w:pPr>
            <w:r>
              <w:t xml:space="preserve">9/15/2020</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Roll call Yeas-65 Nays-35</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Ayes-0 Nays-42</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House insists upon amendment and conference committee appointed Reps. GM Smith, Crawford, and Stavrinakis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Conference committee appointed Goldfinch, Climer, Sabb</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committee appointed GM Smith, Crawford, and Stavrinakis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committee appointed Goldfinch, Climer, Sabb</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report received and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153</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2"/>
    <w:bookmarkStart w:id="53" w:name="s227-local-planning"/>
    <w:p>
      <w:pPr>
        <w:pStyle w:val="Heading2"/>
      </w:pPr>
      <w:r>
        <w:t xml:space="preserve">2025-26 S227 — Local planning</w:t>
      </w:r>
    </w:p>
    <w:p>
      <w:pPr>
        <w:pStyle w:val="FirstParagraph"/>
      </w:pPr>
      <w:r>
        <w:rPr>
          <w:iCs/>
          <w:i/>
        </w:rPr>
        <w:t xml:space="preserve">Would define</w:t>
      </w:r>
      <w:r>
        <w:rPr>
          <w:iCs/>
          <w:i/>
        </w:rPr>
        <w:t xml:space="preserve"> </w:t>
      </w:r>
      <w:r>
        <w:rPr>
          <w:iCs/>
          <w:i/>
        </w:rPr>
        <w:t xml:space="preserve">‘</w:t>
      </w:r>
      <w:r>
        <w:rPr>
          <w:iCs/>
          <w:i/>
        </w:rPr>
        <w:t xml:space="preserve">concurrency programs</w:t>
      </w:r>
      <w:r>
        <w:rPr>
          <w:iCs/>
          <w:i/>
        </w:rPr>
        <w:t xml:space="preserve">’</w:t>
      </w:r>
      <w:r>
        <w:rPr>
          <w:iCs/>
          <w:i/>
        </w:rPr>
        <w:t xml:space="preserve"> </w:t>
      </w:r>
      <w:r>
        <w:rPr>
          <w:iCs/>
          <w:i/>
        </w:rPr>
        <w:t xml:space="preserve">in the zoning law so local governments can tie new development approvals to infrastructure keeping pace.</w:t>
      </w:r>
      <w:r>
        <w:t xml:space="preserve"> </w:t>
      </w:r>
      <w:r>
        <w:t xml:space="preserve">— Reported favorably and amended on the Senate floor in the session’s final weeks; never completed passage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3/12/2026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Amended</w:t>
            </w:r>
          </w:p>
        </w:tc>
      </w:tr>
    </w:tbl>
    <w:bookmarkEnd w:id="53"/>
    <w:bookmarkStart w:id="54" w:name="Xb9165e21f966a26c3f727d8b0f2460b2b4daa05"/>
    <w:p>
      <w:pPr>
        <w:pStyle w:val="Heading2"/>
      </w:pPr>
      <w:r>
        <w:t xml:space="preserve">2021-22 H4817 — Shortline Railroad Modernization Act</w:t>
      </w:r>
    </w:p>
    <w:p>
      <w:pPr>
        <w:pStyle w:val="FirstParagraph"/>
      </w:pPr>
      <w:r>
        <w:rPr>
          <w:iCs/>
          <w:i/>
        </w:rPr>
        <w:t xml:space="preserve">The Shortline Railroad Modernization Act: a tax credit for half of small railroads’ track reconstruction and replacement spending.</w:t>
      </w:r>
      <w:r>
        <w:t xml:space="preserve"> </w:t>
      </w:r>
      <w:r>
        <w:t xml:space="preserve">— Passed the House 106-3;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3/31/2022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Roll call Yeas-106 Nays-3</w:t>
            </w:r>
          </w:p>
        </w:tc>
      </w:tr>
      <w:tr>
        <w:tc>
          <w:tcPr/>
          <w:p>
            <w:pPr>
              <w:pStyle w:val="Compact"/>
              <w:jc w:val="left"/>
            </w:pPr>
            <w:r>
              <w:t xml:space="preserve">4/7/2022</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Referred to Committee on Finance</w:t>
            </w:r>
          </w:p>
        </w:tc>
      </w:tr>
    </w:tbl>
    <w:bookmarkEnd w:id="54"/>
    <w:bookmarkStart w:id="55" w:name="Xe6d9971f5b753a3435a6b0f2897d770470332ef"/>
    <w:p>
      <w:pPr>
        <w:pStyle w:val="Heading2"/>
      </w:pPr>
      <w:r>
        <w:t xml:space="preserve">2023-24 H3737 — Short Line Railroad Modernization Act</w:t>
      </w:r>
    </w:p>
    <w:p>
      <w:pPr>
        <w:pStyle w:val="FirstParagraph"/>
      </w:pPr>
      <w:r>
        <w:rPr>
          <w:iCs/>
          <w:i/>
        </w:rPr>
        <w:t xml:space="preserve">Refile of the shortline railroad modernization tax credit.</w:t>
      </w:r>
      <w:r>
        <w:t xml:space="preserve"> </w:t>
      </w:r>
      <w:r>
        <w:t xml:space="preserve">— Passed the House 65-46; died in Senate Finance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Roll call Yeas-65 Nays-46</w:t>
            </w:r>
          </w:p>
        </w:tc>
      </w:tr>
      <w:tr>
        <w:tc>
          <w:tcPr/>
          <w:p>
            <w:pPr>
              <w:pStyle w:val="Compact"/>
              <w:jc w:val="left"/>
            </w:pPr>
            <w:r>
              <w:t xml:space="preserve">4/6/2023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Referred to Committee on Finance</w:t>
            </w:r>
          </w:p>
        </w:tc>
      </w:tr>
    </w:tbl>
    <w:bookmarkEnd w:id="55"/>
    <w:bookmarkStart w:id="56" w:name="h3075-rural-infrastructure-authority"/>
    <w:p>
      <w:pPr>
        <w:pStyle w:val="Heading2"/>
      </w:pPr>
      <w:r>
        <w:t xml:space="preserve">2023-24 H3075 — Rural Infrastructure Authority</w:t>
      </w:r>
    </w:p>
    <w:p>
      <w:pPr>
        <w:pStyle w:val="FirstParagraph"/>
      </w:pPr>
      <w:r>
        <w:rPr>
          <w:iCs/>
          <w:i/>
        </w:rPr>
        <w:t xml:space="preserve">Would have made the Rural Infrastructure Authority staff the state’s water-and-sewer loan authorities - consolidating water infrastructure financing support.</w:t>
      </w:r>
      <w:r>
        <w:t xml:space="preserve"> </w:t>
      </w:r>
      <w:r>
        <w:t xml:space="preserve">— Passed the House 112-0;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12/8/2022</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5/2/2023</w:t>
            </w:r>
          </w:p>
        </w:tc>
        <w:tc>
          <w:tcPr/>
          <w:p>
            <w:pPr>
              <w:pStyle w:val="Compact"/>
              <w:jc w:val="left"/>
            </w:pPr>
            <w:r>
              <w:t xml:space="preserve">House</w:t>
            </w:r>
          </w:p>
        </w:tc>
        <w:tc>
          <w:tcPr/>
          <w:p>
            <w:pPr>
              <w:pStyle w:val="Compact"/>
              <w:jc w:val="left"/>
            </w:pPr>
            <w:r>
              <w:t xml:space="preserve">Committee report: Favorable with amendment Agriculture, Natural Resources and Environmental Affairs</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Roll call Yeas-112 Nays-0</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Referred to Committee on Finance</w:t>
            </w:r>
          </w:p>
        </w:tc>
      </w:tr>
    </w:tbl>
    <w:bookmarkEnd w:id="56"/>
    <w:bookmarkStart w:id="57" w:name="X1bd5cfe916cda8fb32ac8c9a69e409287842172"/>
    <w:p>
      <w:pPr>
        <w:pStyle w:val="Heading2"/>
      </w:pPr>
      <w:r>
        <w:t xml:space="preserve">2021-22 H3505 — Infrastructure maintenance fee and road use</w:t>
      </w:r>
    </w:p>
    <w:p>
      <w:pPr>
        <w:pStyle w:val="FirstParagraph"/>
      </w:pPr>
      <w:r>
        <w:rPr>
          <w:iCs/>
          <w:i/>
        </w:rPr>
        <w:t xml:space="preserve">Closed the collection gap in the road-funding infrastructure maintenance fee by applying it at first titling (Act 70 of 2021).</w:t>
      </w:r>
      <w:r>
        <w:t xml:space="preserve"> </w:t>
      </w:r>
      <w:r>
        <w:t xml:space="preserve">— Became law (Act 70)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Roll call Yeas-106 Nays-4</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Roll call Ayes-42 Nays-2</w:t>
            </w:r>
          </w:p>
        </w:tc>
      </w:tr>
      <w:tr>
        <w:tc>
          <w:tcPr/>
          <w:p>
            <w:pPr>
              <w:pStyle w:val="Compact"/>
              <w:jc w:val="left"/>
            </w:pPr>
            <w:r>
              <w:t xml:space="preserve">5/4/2021</w:t>
            </w:r>
          </w:p>
        </w:tc>
        <w:tc>
          <w:tcPr/>
          <w:p>
            <w:pPr>
              <w:pStyle w:val="Compact"/>
              <w:jc w:val="left"/>
            </w:pPr>
            <w:r>
              <w:t xml:space="preserve">Senate</w:t>
            </w:r>
          </w:p>
        </w:tc>
        <w:tc>
          <w:tcPr/>
          <w:p>
            <w:pPr>
              <w:pStyle w:val="Compact"/>
              <w:jc w:val="left"/>
            </w:pPr>
            <w:r>
              <w:t xml:space="preserve">Read third time and enrolled</w:t>
            </w:r>
          </w:p>
        </w:tc>
      </w:tr>
      <w:tr>
        <w:tc>
          <w:tcPr/>
          <w:p>
            <w:pPr>
              <w:pStyle w:val="Compact"/>
              <w:jc w:val="left"/>
            </w:pPr>
            <w:r>
              <w:t xml:space="preserve">5/13/2021</w:t>
            </w:r>
          </w:p>
        </w:tc>
        <w:tc>
          <w:tcPr/>
          <w:p>
            <w:pPr>
              <w:pStyle w:val="Compact"/>
              <w:jc w:val="left"/>
            </w:pPr>
            <w:r>
              <w:t xml:space="preserve">—</w:t>
            </w:r>
          </w:p>
        </w:tc>
        <w:tc>
          <w:tcPr/>
          <w:p>
            <w:pPr>
              <w:pStyle w:val="Compact"/>
              <w:jc w:val="left"/>
            </w:pPr>
            <w:r>
              <w:t xml:space="preserve">Ratified R 86</w:t>
            </w:r>
          </w:p>
        </w:tc>
      </w:tr>
      <w:tr>
        <w:tc>
          <w:tcPr/>
          <w:p>
            <w:pPr>
              <w:pStyle w:val="Compact"/>
              <w:jc w:val="left"/>
            </w:pPr>
            <w:r>
              <w:t xml:space="preserve">5/17/2021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5/17/2021</w:t>
            </w:r>
          </w:p>
        </w:tc>
        <w:tc>
          <w:tcPr/>
          <w:p>
            <w:pPr>
              <w:pStyle w:val="Compact"/>
              <w:jc w:val="left"/>
            </w:pPr>
            <w:r>
              <w:t xml:space="preserve">Governor</w:t>
            </w:r>
          </w:p>
        </w:tc>
        <w:tc>
          <w:tcPr/>
          <w:p>
            <w:pPr>
              <w:pStyle w:val="Compact"/>
              <w:jc w:val="left"/>
            </w:pPr>
            <w:r>
              <w:t xml:space="preserve">Signed By Governor</w:t>
            </w:r>
          </w:p>
        </w:tc>
      </w:tr>
    </w:tbl>
    <w:bookmarkEnd w:id="57"/>
    <w:bookmarkStart w:id="58" w:name="s401-highway-system-construction"/>
    <w:p>
      <w:pPr>
        <w:pStyle w:val="Heading2"/>
      </w:pPr>
      <w:r>
        <w:t xml:space="preserve">2019-20 S401 — Highway system construction</w:t>
      </w:r>
    </w:p>
    <w:p>
      <w:pPr>
        <w:pStyle w:val="FirstParagraph"/>
      </w:pPr>
      <w:r>
        <w:rPr>
          <w:iCs/>
          <w:i/>
        </w:rPr>
        <w:t xml:space="preserve">Made the entity building a transportation improvement project bear the cost of relocating water and sewer lines, with a sunset date (Act 36 of 2019).</w:t>
      </w:r>
      <w:r>
        <w:t xml:space="preserve"> </w:t>
      </w:r>
      <w:r>
        <w:t xml:space="preserve">— Became law (Act 36)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3/21/2019</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Roll call Ayes-38 Nays-0</w:t>
            </w:r>
          </w:p>
        </w:tc>
      </w:tr>
      <w:tr>
        <w:tc>
          <w:tcPr/>
          <w:p>
            <w:pPr>
              <w:pStyle w:val="Compact"/>
              <w:jc w:val="left"/>
            </w:pPr>
            <w:r>
              <w:t xml:space="preserve">3/28/2019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4/25/2019</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5/1/2019</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5/9/2019</w:t>
            </w:r>
          </w:p>
        </w:tc>
        <w:tc>
          <w:tcPr/>
          <w:p>
            <w:pPr>
              <w:pStyle w:val="Compact"/>
              <w:jc w:val="left"/>
            </w:pPr>
            <w:r>
              <w:t xml:space="preserve">—</w:t>
            </w:r>
          </w:p>
        </w:tc>
        <w:tc>
          <w:tcPr/>
          <w:p>
            <w:pPr>
              <w:pStyle w:val="Compact"/>
              <w:jc w:val="left"/>
            </w:pPr>
            <w:r>
              <w:t xml:space="preserve">Ratified R 49</w:t>
            </w:r>
          </w:p>
        </w:tc>
      </w:tr>
      <w:tr>
        <w:tc>
          <w:tcPr/>
          <w:p>
            <w:pPr>
              <w:pStyle w:val="Compact"/>
              <w:jc w:val="left"/>
            </w:pPr>
            <w:r>
              <w:t xml:space="preserve">5/13/2019</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5/13/2019</w:t>
            </w:r>
          </w:p>
        </w:tc>
        <w:tc>
          <w:tcPr/>
          <w:p>
            <w:pPr>
              <w:pStyle w:val="Compact"/>
              <w:jc w:val="left"/>
            </w:pPr>
            <w:r>
              <w:t xml:space="preserve">Governor</w:t>
            </w:r>
          </w:p>
        </w:tc>
        <w:tc>
          <w:tcPr/>
          <w:p>
            <w:pPr>
              <w:pStyle w:val="Compact"/>
              <w:jc w:val="left"/>
            </w:pPr>
            <w:r>
              <w:t xml:space="preserve">Signed By Governor</w:t>
            </w:r>
          </w:p>
        </w:tc>
      </w:tr>
    </w:tbl>
    <w:bookmarkEnd w:id="58"/>
    <w:bookmarkStart w:id="59" w:name="h3768-highway-system-construction"/>
    <w:p>
      <w:pPr>
        <w:pStyle w:val="Heading2"/>
      </w:pPr>
      <w:r>
        <w:t xml:space="preserve">2025-26 H3768 — Highway system construction</w:t>
      </w:r>
    </w:p>
    <w:p>
      <w:pPr>
        <w:pStyle w:val="FirstParagraph"/>
      </w:pPr>
      <w:r>
        <w:rPr>
          <w:iCs/>
          <w:i/>
        </w:rPr>
        <w:t xml:space="preserve">Extended the Act 36 utility-relocation cost rule to 2032 and consented to federal-court suits under the national environmental review assignment program (Act 244 of 2026).</w:t>
      </w:r>
      <w:r>
        <w:t xml:space="preserve"> </w:t>
      </w:r>
      <w:r>
        <w:t xml:space="preserve">— Became law (Act 244)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4/28/2026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Debate adjourned until Tues., 5-5-26</w:t>
            </w:r>
          </w:p>
        </w:tc>
      </w:tr>
      <w:tr>
        <w:tc>
          <w:tcPr/>
          <w:p>
            <w:pPr>
              <w:pStyle w:val="Compact"/>
              <w:jc w:val="left"/>
            </w:pPr>
            <w:r>
              <w:t xml:space="preserve">5/5/2026</w:t>
            </w:r>
          </w:p>
        </w:tc>
        <w:tc>
          <w:tcPr/>
          <w:p>
            <w:pPr>
              <w:pStyle w:val="Compact"/>
              <w:jc w:val="left"/>
            </w:pPr>
            <w:r>
              <w:t xml:space="preserve">House</w:t>
            </w:r>
          </w:p>
        </w:tc>
        <w:tc>
          <w:tcPr/>
          <w:p>
            <w:pPr>
              <w:pStyle w:val="Compact"/>
              <w:jc w:val="left"/>
            </w:pPr>
            <w:r>
              <w:t xml:space="preserve">Debate adjourned until Wed., 5-6-26</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Senate amendment amended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Ayes-38 Nays-2</w:t>
            </w:r>
          </w:p>
        </w:tc>
      </w:tr>
      <w:tr>
        <w:tc>
          <w:tcPr/>
          <w:p>
            <w:pPr>
              <w:pStyle w:val="Compact"/>
              <w:jc w:val="left"/>
            </w:pPr>
            <w:r>
              <w:t xml:space="preserve">5/20/2026</w:t>
            </w:r>
          </w:p>
        </w:tc>
        <w:tc>
          <w:tcPr/>
          <w:p>
            <w:pPr>
              <w:pStyle w:val="Compact"/>
              <w:jc w:val="left"/>
            </w:pPr>
            <w:r>
              <w:t xml:space="preserve">—</w:t>
            </w:r>
          </w:p>
        </w:tc>
        <w:tc>
          <w:tcPr/>
          <w:p>
            <w:pPr>
              <w:pStyle w:val="Compact"/>
              <w:jc w:val="left"/>
            </w:pPr>
            <w:r>
              <w:t xml:space="preserve">Ratified R 265</w:t>
            </w:r>
          </w:p>
        </w:tc>
      </w:tr>
      <w:tr>
        <w:tc>
          <w:tcPr/>
          <w:p>
            <w:pPr>
              <w:pStyle w:val="Compact"/>
              <w:jc w:val="left"/>
            </w:pPr>
            <w:r>
              <w:t xml:space="preserve">5/22/2026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5/22/2026</w:t>
            </w:r>
          </w:p>
        </w:tc>
        <w:tc>
          <w:tcPr/>
          <w:p>
            <w:pPr>
              <w:pStyle w:val="Compact"/>
              <w:jc w:val="left"/>
            </w:pPr>
            <w:r>
              <w:t xml:space="preserve">Governor</w:t>
            </w:r>
          </w:p>
        </w:tc>
        <w:tc>
          <w:tcPr/>
          <w:p>
            <w:pPr>
              <w:pStyle w:val="Compact"/>
              <w:jc w:val="left"/>
            </w:pPr>
            <w:r>
              <w:t xml:space="preserve">Signed By Governor</w:t>
            </w:r>
          </w:p>
        </w:tc>
      </w:tr>
    </w:tbl>
    <w:bookmarkEnd w:id="59"/>
    <w:bookmarkStart w:id="60" w:name="X8de57ee92731be48c2e18eb2fb9b88daaf077b0"/>
    <w:p>
      <w:pPr>
        <w:pStyle w:val="Heading2"/>
      </w:pPr>
      <w:r>
        <w:t xml:space="preserve">2025-26 H4589 — Education Capital Improvements Sales and Use Tax</w:t>
      </w:r>
    </w:p>
    <w:p>
      <w:pPr>
        <w:pStyle w:val="FirstParagraph"/>
      </w:pPr>
      <w:r>
        <w:rPr>
          <w:iCs/>
          <w:i/>
        </w:rPr>
        <w:t xml:space="preserve">Expanded which counties may impose the local-option education capital improvements sales tax for school buildings (Act 203 of 2026).</w:t>
      </w:r>
      <w:r>
        <w:t xml:space="preserve"> </w:t>
      </w:r>
      <w:r>
        <w:t xml:space="preserve">— Became law (Act 203)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Roll call Yeas-81 Nays-18</w:t>
            </w:r>
          </w:p>
        </w:tc>
      </w:tr>
      <w:tr>
        <w:tc>
          <w:tcPr/>
          <w:p>
            <w:pPr>
              <w:pStyle w:val="Compact"/>
              <w:jc w:val="left"/>
            </w:pPr>
            <w:r>
              <w:t xml:space="preserve">4/24/2026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Yeas-91 Nays-14</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250</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9fef3fd9c0909ca041dce111164ad555be354f6"/>
    <w:p>
      <w:pPr>
        <w:pStyle w:val="Heading2"/>
      </w:pPr>
      <w:r>
        <w:t xml:space="preserve">2019-20 H4262 — Small Wireless Facilities Deployment Act</w:t>
      </w:r>
    </w:p>
    <w:p>
      <w:pPr>
        <w:pStyle w:val="FirstParagraph"/>
      </w:pPr>
      <w:r>
        <w:rPr>
          <w:iCs/>
          <w:i/>
        </w:rPr>
        <w:t xml:space="preserve">The Small Wireless Facilities Deployment Act: statewide rules for placing small 5G cells in rights of way, limiting local zoning control over them.</w:t>
      </w:r>
      <w:r>
        <w:t xml:space="preserve"> </w:t>
      </w:r>
      <w:r>
        <w:t xml:space="preserve">— Became law (Act 179)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Yeas-108 Nays-2</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Ayes-32 Nays-6</w:t>
            </w:r>
          </w:p>
        </w:tc>
      </w:tr>
      <w:tr>
        <w:tc>
          <w:tcPr/>
          <w:p>
            <w:pPr>
              <w:pStyle w:val="Compact"/>
              <w:jc w:val="left"/>
            </w:pPr>
            <w:r>
              <w:t xml:space="preserve">9/24/2020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9/24/2020</w:t>
            </w:r>
          </w:p>
        </w:tc>
        <w:tc>
          <w:tcPr/>
          <w:p>
            <w:pPr>
              <w:pStyle w:val="Compact"/>
              <w:jc w:val="left"/>
            </w:pPr>
            <w:r>
              <w:t xml:space="preserve">House</w:t>
            </w:r>
          </w:p>
        </w:tc>
        <w:tc>
          <w:tcPr/>
          <w:p>
            <w:pPr>
              <w:pStyle w:val="Compact"/>
              <w:jc w:val="left"/>
            </w:pPr>
            <w:r>
              <w:t xml:space="preserve">Roll call Yeas-104 Nays-1</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190</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61"/>
    <w:bookmarkStart w:id="62" w:name="s399-public-transit-trespass"/>
    <w:p>
      <w:pPr>
        <w:pStyle w:val="Heading2"/>
      </w:pPr>
      <w:r>
        <w:t xml:space="preserve">2025-26 S399 — Public Transit Trespass</w:t>
      </w:r>
    </w:p>
    <w:p>
      <w:pPr>
        <w:pStyle w:val="FirstParagraph"/>
      </w:pPr>
      <w:r>
        <w:rPr>
          <w:iCs/>
          <w:i/>
        </w:rPr>
        <w:t xml:space="preserve">Made refusing to leave a public transit facility after a warning a misdemeanor, with a warning-and-appeal process (Act 222 of 2026).</w:t>
      </w:r>
      <w:r>
        <w:t xml:space="preserve"> </w:t>
      </w:r>
      <w:r>
        <w:t xml:space="preserve">— Became law (Act 222)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224</w:t>
            </w:r>
          </w:p>
        </w:tc>
      </w:tr>
      <w:tr>
        <w:tc>
          <w:tcPr/>
          <w:p>
            <w:pPr>
              <w:pStyle w:val="Compact"/>
              <w:jc w:val="left"/>
            </w:pPr>
            <w:r>
              <w:t xml:space="preserve">5/19/2026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62"/>
    <w:bookmarkStart w:id="63" w:name="X36a82cbfa4f87ff74dab250df5012ea3c34fb70"/>
    <w:p>
      <w:pPr>
        <w:pStyle w:val="Heading2"/>
      </w:pPr>
      <w:r>
        <w:t xml:space="preserve">2019-20 H4369 — Transportation Project Prioritization (D. No. 4839)</w:t>
      </w:r>
    </w:p>
    <w:p>
      <w:pPr>
        <w:pStyle w:val="FirstParagraph"/>
      </w:pPr>
      <w:r>
        <w:rPr>
          <w:iCs/>
          <w:i/>
        </w:rPr>
        <w:t xml:space="preserve">Joint resolution to approve SCDOT’s project prioritization regulation - the ranking rules for which roads get built first.</w:t>
      </w:r>
      <w:r>
        <w:t xml:space="preserve"> </w:t>
      </w:r>
      <w:r>
        <w:t xml:space="preserve">— Passed the House 107-0; favorable Senate committee report, then recommitted to Senate Transportation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Introduced, read first time, placed on calendar without reference</w:t>
            </w:r>
          </w:p>
        </w:tc>
      </w:tr>
      <w:tr>
        <w:tc>
          <w:tcPr/>
          <w:p>
            <w:pPr>
              <w:pStyle w:val="Compact"/>
              <w:jc w:val="left"/>
            </w:pPr>
            <w:r>
              <w:t xml:space="preserve">4/9/2019</w:t>
            </w:r>
          </w:p>
        </w:tc>
        <w:tc>
          <w:tcPr/>
          <w:p>
            <w:pPr>
              <w:pStyle w:val="Compact"/>
              <w:jc w:val="left"/>
            </w:pPr>
            <w:r>
              <w:t xml:space="preserve">House</w:t>
            </w:r>
          </w:p>
        </w:tc>
        <w:tc>
          <w:tcPr/>
          <w:p>
            <w:pPr>
              <w:pStyle w:val="Compact"/>
              <w:jc w:val="left"/>
            </w:pPr>
            <w:r>
              <w:t xml:space="preserve">Debate adjourned until Wed., 4-10-19</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4/11/2019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4/25/2019</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1/15/2020</w:t>
            </w:r>
          </w:p>
        </w:tc>
        <w:tc>
          <w:tcPr/>
          <w:p>
            <w:pPr>
              <w:pStyle w:val="Compact"/>
              <w:jc w:val="left"/>
            </w:pPr>
            <w:r>
              <w:t xml:space="preserve">Senate</w:t>
            </w:r>
          </w:p>
        </w:tc>
        <w:tc>
          <w:tcPr/>
          <w:p>
            <w:pPr>
              <w:pStyle w:val="Compact"/>
              <w:jc w:val="left"/>
            </w:pPr>
            <w:r>
              <w:t xml:space="preserve">Recommitted to Committee on Transportation</w:t>
            </w:r>
          </w:p>
        </w:tc>
      </w:tr>
    </w:tbl>
    <w:bookmarkEnd w:id="63"/>
    <w:bookmarkEnd w:id="64"/>
    <w:bookmarkStart w:id="67" w:name="Xab8249c355cd08f701cc018c02c48e08c7bba8e"/>
    <w:p>
      <w:pPr>
        <w:pStyle w:val="Heading1"/>
      </w:pPr>
      <w:r>
        <w:t xml:space="preserve">Appendix F — What this data can and cannot say</w:t>
      </w:r>
    </w:p>
    <w:p>
      <w:pPr>
        <w:pStyle w:val="FirstParagraph"/>
      </w:pPr>
      <w:r>
        <w:t xml:space="preserve">This appendix states the limits of the record behind the brief, so readers</w:t>
      </w:r>
      <w:r>
        <w:t xml:space="preserve"> </w:t>
      </w:r>
      <w:r>
        <w:t xml:space="preserve">know exactly how much weight each claim can carry.</w:t>
      </w:r>
    </w:p>
    <w:bookmarkStart w:id="65" w:name="where-the-data-comes-from"/>
    <w:p>
      <w:pPr>
        <w:pStyle w:val="Heading2"/>
      </w:pPr>
      <w:r>
        <w:t xml:space="preserve">Where the data comes from</w:t>
      </w:r>
    </w:p>
    <w:p>
      <w:pPr>
        <w:numPr>
          <w:ilvl w:val="0"/>
          <w:numId w:val="1011"/>
        </w:numPr>
        <w:pStyle w:val="Compact"/>
      </w:pPr>
      <w:r>
        <w:t xml:space="preserve">Every bill, action, sponsor line, and floor vote comes from the South</w:t>
      </w:r>
      <w:r>
        <w:t xml:space="preserve"> </w:t>
      </w:r>
      <w:r>
        <w:t xml:space="preserve">Carolina Legislature’s official website (scstatehouse.gov), collected as</w:t>
      </w:r>
      <w:r>
        <w:t xml:space="preserve"> </w:t>
      </w:r>
      <w:r>
        <w:t xml:space="preserve">part of a certified sweep of all 15,817 instruments filed in the 123rd</w:t>
      </w:r>
      <w:r>
        <w:t xml:space="preserve"> </w:t>
      </w:r>
      <w:r>
        <w:t xml:space="preserve">through 126th General Assemblies (2019–2026), plus every chamber roll</w:t>
      </w:r>
      <w:r>
        <w:t xml:space="preserve"> </w:t>
      </w:r>
      <w:r>
        <w:t xml:space="preserve">call and ratification.</w:t>
      </w:r>
    </w:p>
    <w:p>
      <w:pPr>
        <w:numPr>
          <w:ilvl w:val="0"/>
          <w:numId w:val="1011"/>
        </w:numPr>
        <w:pStyle w:val="Compact"/>
      </w:pPr>
      <w:r>
        <w:t xml:space="preserve">Budget provisos come from the enacted (</w:t>
      </w:r>
      <w:r>
        <w:t xml:space="preserve">“</w:t>
      </w:r>
      <w:r>
        <w:t xml:space="preserve">ratified</w:t>
      </w:r>
      <w:r>
        <w:t xml:space="preserve">”</w:t>
      </w:r>
      <w:r>
        <w:t xml:space="preserve">) Part IB text of each</w:t>
      </w:r>
      <w:r>
        <w:t xml:space="preserve"> </w:t>
      </w:r>
      <w:r>
        <w:t xml:space="preserve">annual General Appropriations Act on the same official site. Dollar</w:t>
      </w:r>
      <w:r>
        <w:t xml:space="preserve"> </w:t>
      </w:r>
      <w:r>
        <w:t xml:space="preserve">figures quoted for provisos are verbatim from that text.</w:t>
      </w:r>
    </w:p>
    <w:p>
      <w:pPr>
        <w:numPr>
          <w:ilvl w:val="0"/>
          <w:numId w:val="1011"/>
        </w:numPr>
        <w:pStyle w:val="Compact"/>
      </w:pPr>
      <w:r>
        <w:t xml:space="preserve">The curated set was found by keyword discovery (official full-text search</w:t>
      </w:r>
      <w:r>
        <w:t xml:space="preserve"> </w:t>
      </w:r>
      <w:r>
        <w:t xml:space="preserve">plus a local full-text and title scan of the certified universe) and then</w:t>
      </w:r>
      <w:r>
        <w:t xml:space="preserve"> </w:t>
      </w:r>
      <w:r>
        <w:t xml:space="preserve">hand-reviewed bill by bill. It is a careful selection, not a</w:t>
      </w:r>
      <w:r>
        <w:t xml:space="preserve"> </w:t>
      </w:r>
      <w:r>
        <w:t xml:space="preserve">proven-complete census of every growth-related bill. Nine bills were</w:t>
      </w:r>
      <w:r>
        <w:t xml:space="preserve"> </w:t>
      </w:r>
      <w:r>
        <w:t xml:space="preserve">hand-added from the certified universe because the original search terms</w:t>
      </w:r>
      <w:r>
        <w:t xml:space="preserve"> </w:t>
      </w:r>
      <w:r>
        <w:t xml:space="preserve">did not cover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or</w:t>
      </w:r>
      <w:r>
        <w:t xml:space="preserve"> </w:t>
      </w:r>
      <w:r>
        <w:t xml:space="preserve">“</w:t>
      </w:r>
      <w:r>
        <w:t xml:space="preserve">hospitality tax</w:t>
      </w:r>
      <w:r>
        <w:t xml:space="preserve">”</w:t>
      </w:r>
      <w:r>
        <w:t xml:space="preserve"> </w:t>
      </w:r>
      <w:r>
        <w:t xml:space="preserve">phrasings;</w:t>
      </w:r>
      <w:r>
        <w:t xml:space="preserve"> </w:t>
      </w:r>
      <w:r>
        <w:t xml:space="preserve">a title scan for those phrasings was run across all four sessions.</w:t>
      </w:r>
    </w:p>
    <w:bookmarkEnd w:id="65"/>
    <w:bookmarkStart w:id="66" w:name="what-the-data-cannot-say"/>
    <w:p>
      <w:pPr>
        <w:pStyle w:val="Heading2"/>
      </w:pPr>
      <w:r>
        <w:t xml:space="preserve">What the data cannot say</w:t>
      </w:r>
    </w:p>
    <w:p>
      <w:pPr>
        <w:numPr>
          <w:ilvl w:val="0"/>
          <w:numId w:val="1012"/>
        </w:numPr>
        <w:pStyle w:val="Compact"/>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w:t>
      </w:r>
      <w:r>
        <w:t xml:space="preserve"> </w:t>
      </w:r>
      <w:r>
        <w:t xml:space="preserve">“</w:t>
      </w:r>
      <w:r>
        <w:t xml:space="preserve">Favorable with amendment</w:t>
      </w:r>
      <w:r>
        <w:t xml:space="preserve">”</w:t>
      </w:r>
      <w:r>
        <w:t xml:space="preserve">) but never tally</w:t>
      </w:r>
      <w:r>
        <w:t xml:space="preserve"> </w:t>
      </w:r>
      <w:r>
        <w:t xml:space="preserve">tables. Nothing in this packet states or implies a committee vote count,</w:t>
      </w:r>
      <w:r>
        <w:t xml:space="preserve"> </w:t>
      </w:r>
      <w:r>
        <w:t xml:space="preserve">because none exists to cite.</w:t>
      </w:r>
    </w:p>
    <w:p>
      <w:pPr>
        <w:numPr>
          <w:ilvl w:val="0"/>
          <w:numId w:val="1012"/>
        </w:numPr>
        <w:pStyle w:val="Compact"/>
      </w:pPr>
      <w:r>
        <w:rPr>
          <w:bCs/>
          <w:b/>
        </w:rPr>
        <w:t xml:space="preserve">No party labels.</w:t>
      </w:r>
      <w:r>
        <w:t xml:space="preserve"> </w:t>
      </w:r>
      <w:r>
        <w:t xml:space="preserve">Per-member ballot PDFs list names only, and this</w:t>
      </w:r>
      <w:r>
        <w:t xml:space="preserve"> </w:t>
      </w:r>
      <w:r>
        <w:t xml:space="preserve">packet does not include the member-roster join that would attach parties.</w:t>
      </w:r>
      <w:r>
        <w:t xml:space="preserve"> </w:t>
      </w:r>
      <w:r>
        <w:t xml:space="preserve">The brief therefore makes no party claims at all.</w:t>
      </w:r>
    </w:p>
    <w:p>
      <w:pPr>
        <w:numPr>
          <w:ilvl w:val="0"/>
          <w:numId w:val="1012"/>
        </w:numPr>
        <w:pStyle w:val="Compact"/>
      </w:pPr>
      <w:r>
        <w:rPr>
          <w:bCs/>
          <w:b/>
        </w:rPr>
        <w:t xml:space="preserve">Voice votes leave no numbers.</w:t>
      </w:r>
      <w:r>
        <w:t xml:space="preserve"> </w:t>
      </w:r>
      <w:r>
        <w:t xml:space="preserve">Many bills — including some that became</w:t>
      </w:r>
      <w:r>
        <w:t xml:space="preserve"> </w:t>
      </w:r>
      <w:r>
        <w:t xml:space="preserve">law — show few or no roll calls because South Carolina uses voice votes</w:t>
      </w:r>
      <w:r>
        <w:t xml:space="preserve"> </w:t>
      </w:r>
      <w:r>
        <w:t xml:space="preserve">heavily. An empty vote history is a real answer, not missing data.</w:t>
      </w:r>
    </w:p>
    <w:p>
      <w:pPr>
        <w:numPr>
          <w:ilvl w:val="0"/>
          <w:numId w:val="1012"/>
        </w:numPr>
        <w:pStyle w:val="Compact"/>
      </w:pPr>
      <w:r>
        <w:rPr>
          <w:bCs/>
          <w:b/>
        </w:rPr>
        <w:t xml:space="preserve">Committee silence has no recorded reason.</w:t>
      </w:r>
      <w:r>
        <w:t xml:space="preserve"> </w:t>
      </w:r>
      <w:r>
        <w:t xml:space="preserve">When a bill dies in its</w:t>
      </w:r>
      <w:r>
        <w:t xml:space="preserve"> </w:t>
      </w:r>
      <w:r>
        <w:t xml:space="preserve">first committee, the record shows no hearing, no vote, and no explanation.</w:t>
      </w:r>
      <w:r>
        <w:t xml:space="preserve"> </w:t>
      </w:r>
      <w:r>
        <w:t xml:space="preserve">The brief reports the stop; it cannot report why.</w:t>
      </w:r>
    </w:p>
    <w:p>
      <w:pPr>
        <w:numPr>
          <w:ilvl w:val="0"/>
          <w:numId w:val="1012"/>
        </w:numPr>
        <w:pStyle w:val="Compact"/>
      </w:pPr>
      <w:r>
        <w:rPr>
          <w:bCs/>
          <w:b/>
        </w:rPr>
        <w:t xml:space="preserve">Whole-bill votes only for provisos.</w:t>
      </w:r>
      <w:r>
        <w:t xml:space="preserve"> </w:t>
      </w:r>
      <w:r>
        <w:t xml:space="preserve">Floor votes attach to the entire</w:t>
      </w:r>
      <w:r>
        <w:t xml:space="preserve"> </w:t>
      </w:r>
      <w:r>
        <w:t xml:space="preserve">appropriations bill (or a named amendment), never to one proviso. No vote</w:t>
      </w:r>
      <w:r>
        <w:t xml:space="preserve"> </w:t>
      </w:r>
      <w:r>
        <w:t xml:space="preserve">in this packet is presented as a vote on a specific proviso.</w:t>
      </w:r>
    </w:p>
    <w:p>
      <w:pPr>
        <w:numPr>
          <w:ilvl w:val="0"/>
          <w:numId w:val="1012"/>
        </w:numPr>
        <w:pStyle w:val="Compact"/>
      </w:pPr>
      <w:r>
        <w:rPr>
          <w:bCs/>
          <w:b/>
        </w:rPr>
        <w:t xml:space="preserve">One-year rules.</w:t>
      </w:r>
      <w:r>
        <w:t xml:space="preserve"> </w:t>
      </w:r>
      <w:r>
        <w:t xml:space="preserve">A proviso lasts one budget year unless re-adopted.</w:t>
      </w:r>
      <w:r>
        <w:t xml:space="preserve"> </w:t>
      </w:r>
      <w:r>
        <w:t xml:space="preserve">Statements like</w:t>
      </w:r>
      <w:r>
        <w:t xml:space="preserve"> </w:t>
      </w:r>
      <w:r>
        <w:t xml:space="preserve">“</w:t>
      </w:r>
      <w:r>
        <w:t xml:space="preserve">renewed every year</w:t>
      </w:r>
      <w:r>
        <w:t xml:space="preserve">”</w:t>
      </w:r>
      <w:r>
        <w:t xml:space="preserve"> </w:t>
      </w:r>
      <w:r>
        <w:t xml:space="preserve">describe the observed 2021–2026</w:t>
      </w:r>
      <w:r>
        <w:t xml:space="preserve"> </w:t>
      </w:r>
      <w:r>
        <w:t xml:space="preserve">record, not a guarantee.</w:t>
      </w:r>
    </w:p>
    <w:p>
      <w:pPr>
        <w:numPr>
          <w:ilvl w:val="0"/>
          <w:numId w:val="1012"/>
        </w:numPr>
        <w:pStyle w:val="Compact"/>
      </w:pPr>
      <w:r>
        <w:rPr>
          <w:bCs/>
          <w:b/>
        </w:rPr>
        <w:t xml:space="preserve">Background laws predate the record.</w:t>
      </w:r>
      <w:r>
        <w:t xml:space="preserve"> </w:t>
      </w:r>
      <w:r>
        <w:t xml:space="preserve">The 2017 gas-tax act (Act 40) and</w:t>
      </w:r>
      <w:r>
        <w:t xml:space="preserve"> </w:t>
      </w:r>
      <w:r>
        <w:t xml:space="preserve">the 1999 Development Impact Fee Act are described as background; they were</w:t>
      </w:r>
      <w:r>
        <w:t xml:space="preserve"> </w:t>
      </w:r>
      <w:r>
        <w:t xml:space="preserve">enacted before this record’s 2019 start and are not part of the counts.</w:t>
      </w:r>
    </w:p>
    <w:p>
      <w:pPr>
        <w:numPr>
          <w:ilvl w:val="0"/>
          <w:numId w:val="1012"/>
        </w:numPr>
        <w:pStyle w:val="Compact"/>
      </w:pPr>
      <w:r>
        <w:rPr>
          <w:bCs/>
          <w:b/>
        </w:rPr>
        <w:t xml:space="preserve">Dispositions are as of the collection date.</w:t>
      </w:r>
      <w:r>
        <w:t xml:space="preserve"> </w:t>
      </w:r>
      <w:r>
        <w:t xml:space="preserve">For non-enacted 126th</w:t>
      </w:r>
      <w:r>
        <w:t xml:space="preserve"> </w:t>
      </w:r>
      <w:r>
        <w:t xml:space="preserve">session (2025–2026) bills,</w:t>
      </w:r>
      <w:r>
        <w:t xml:space="preserve"> </w:t>
      </w:r>
      <w:r>
        <w:t xml:space="preserve">“</w:t>
      </w:r>
      <w:r>
        <w:t xml:space="preserve">did not pass</w:t>
      </w:r>
      <w:r>
        <w:t xml:space="preserve">”</w:t>
      </w:r>
      <w:r>
        <w:t xml:space="preserve"> </w:t>
      </w:r>
      <w:r>
        <w:t xml:space="preserve">reflects the record as of</w:t>
      </w:r>
      <w:r>
        <w:t xml:space="preserve"> </w:t>
      </w:r>
      <w:r>
        <w:t xml:space="preserve">2026-08-25, after the regular session’s final regular calendar.</w:t>
      </w:r>
    </w:p>
    <w:p>
      <w:pPr>
        <w:numPr>
          <w:ilvl w:val="0"/>
          <w:numId w:val="1012"/>
        </w:numPr>
        <w:pStyle w:val="Compact"/>
      </w:pPr>
      <w:r>
        <w:rPr>
          <w:bCs/>
          <w:b/>
        </w:rPr>
        <w:t xml:space="preserve">Local County Transportation Committee bills</w:t>
      </w:r>
      <w:r>
        <w:t xml:space="preserve"> </w:t>
      </w:r>
      <w:r>
        <w:t xml:space="preserve">routinely pass one chamber</w:t>
      </w:r>
      <w:r>
        <w:t xml:space="preserve"> </w:t>
      </w:r>
      <w:r>
        <w:t xml:space="preserve">and finish through the county legislative delegation; their one-chamber</w:t>
      </w:r>
      <w:r>
        <w:t xml:space="preserve"> </w:t>
      </w:r>
      <w:r>
        <w:t xml:space="preserve">passage is not a support signal for statewide policy and they are kept as</w:t>
      </w:r>
      <w:r>
        <w:t xml:space="preserve"> </w:t>
      </w:r>
      <w:r>
        <w:t xml:space="preserve">context only.</w:t>
      </w:r>
    </w:p>
    <w:p>
      <w:pPr>
        <w:numPr>
          <w:ilvl w:val="0"/>
          <w:numId w:val="1012"/>
        </w:numPr>
        <w:pStyle w:val="Compact"/>
      </w:pPr>
      <w:r>
        <w:rPr>
          <w:bCs/>
          <w:b/>
        </w:rPr>
        <w:t xml:space="preserve">The five constituent proposals are Forum process input</w:t>
      </w:r>
      <w:r>
        <w:t xml:space="preserve"> </w:t>
      </w:r>
      <w:r>
        <w:t xml:space="preserve">from the</w:t>
      </w:r>
      <w:r>
        <w:t xml:space="preserve"> </w:t>
      </w:r>
      <w:r>
        <w:t xml:space="preserve">Phase 2 Community Conversations (June–August 2026), per the final</w:t>
      </w:r>
      <w:r>
        <w:t xml:space="preserve"> </w:t>
      </w:r>
      <w:r>
        <w:t xml:space="preserve">proposal grid (</w:t>
      </w:r>
      <w:r>
        <w:t xml:space="preserve">“</w:t>
      </w:r>
      <w:r>
        <w:t xml:space="preserve">SC1 - Growth Infrastructure Roads</w:t>
      </w:r>
      <w:r>
        <w:t xml:space="preserve">”</w:t>
      </w:r>
      <w:r>
        <w:t xml:space="preserve">), labeled [P-…]. They</w:t>
      </w:r>
      <w:r>
        <w:t xml:space="preserve"> </w:t>
      </w:r>
      <w:r>
        <w:t xml:space="preserve">record what participants proposed — not verified facts, and not the</w:t>
      </w:r>
      <w:r>
        <w:t xml:space="preserve"> </w:t>
      </w:r>
      <w:r>
        <w:t xml:space="preserve">Forum’s positions. Two proposals from the earlier draft grid (a</w:t>
      </w:r>
      <w:r>
        <w:t xml:space="preserve"> </w:t>
      </w:r>
      <w:r>
        <w:t xml:space="preserve">standalone developer-pays proposal and a transit/multimodal proposal) are</w:t>
      </w:r>
      <w:r>
        <w:t xml:space="preserve"> </w:t>
      </w:r>
      <w:r>
        <w:t xml:space="preserve">not in the final grid; the impact-fee record appears under the</w:t>
      </w:r>
      <w:r>
        <w:t xml:space="preserve"> </w:t>
      </w:r>
      <w:r>
        <w:t xml:space="preserve">funding-tools proposal, and the transit/rail record remains in the theme</w:t>
      </w:r>
      <w:r>
        <w:t xml:space="preserve"> </w:t>
      </w:r>
      <w:r>
        <w:t xml:space="preserve">appendices without a proposal label.</w:t>
      </w:r>
    </w:p>
    <w:bookmarkEnd w:id="66"/>
    <w:bookmarkEnd w:id="67"/>
    <w:bookmarkStart w:id="71" w:name="X7176e636bc4bcb6db0a44011eb675c9b502844a"/>
    <w:p>
      <w:pPr>
        <w:pStyle w:val="Heading1"/>
      </w:pPr>
      <w:r>
        <w:t xml:space="preserve">Appendix G — Roads and growth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roads, growth, and infrastructure</w:t>
      </w:r>
      <w:r>
        <w:t xml:space="preserve"> </w:t>
      </w:r>
      <w:r>
        <w:t xml:space="preserve">funding, selected from the full term-matched candidate sets (246–305</w:t>
      </w:r>
      <w:r>
        <w:t xml:space="preserve"> </w:t>
      </w:r>
      <w:r>
        <w:t xml:space="preserve">provisos per cycle). FY 2020-21 is a gap: the budget bill (H5201) died in</w:t>
      </w:r>
      <w:r>
        <w:t xml:space="preserve"> </w:t>
      </w:r>
      <w:r>
        <w:t xml:space="preserve">committee during COVID and the state ran on a continuing resolution, so</w:t>
      </w:r>
      <w:r>
        <w:t xml:space="preserve"> </w:t>
      </w:r>
      <w:r>
        <w:t xml:space="preserve">that year has no enacted Part IB.</w:t>
      </w:r>
    </w:p>
    <w:bookmarkStart w:id="68"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CTC: Increased Funding (86.1)</w:t>
            </w:r>
          </w:p>
        </w:tc>
        <w:tc>
          <w:tcPr/>
          <w:p>
            <w:pPr>
              <w:pStyle w:val="Compact"/>
              <w:jc w:val="left"/>
            </w:pPr>
            <w:r>
              <w:t xml:space="preserve">all six enacted cycles</w:t>
            </w:r>
          </w:p>
        </w:tc>
        <w:tc>
          <w:tcPr/>
          <w:p>
            <w:pPr>
              <w:pStyle w:val="Compact"/>
              <w:jc w:val="left"/>
            </w:pPr>
            <w:r>
              <w:t xml:space="preserve">The 2017 gas-tax act’s extra money for County Transportation Committees — the county boards that spend gas-tax</w:t>
            </w:r>
            <w:r>
              <w:t xml:space="preserve"> </w:t>
            </w:r>
            <w:r>
              <w:t xml:space="preserve">“</w:t>
            </w:r>
            <w:r>
              <w:t xml:space="preserve">C</w:t>
            </w:r>
            <w:r>
              <w:t xml:space="preserve">”</w:t>
            </w:r>
            <w:r>
              <w:t xml:space="preserve"> </w:t>
            </w:r>
            <w:r>
              <w:t xml:space="preserve">funds on local roads — must be spent exclusively on repairs, maintenance, and improvements to the state highway system. A renewed-every-year fix-it-first rule.</w:t>
            </w:r>
          </w:p>
        </w:tc>
      </w:tr>
      <w:tr>
        <w:tc>
          <w:tcPr/>
          <w:p>
            <w:pPr>
              <w:pStyle w:val="Compact"/>
              <w:jc w:val="left"/>
            </w:pPr>
            <w:r>
              <w:t xml:space="preserve">DOT: Project Priority List (84.9 → 84.8)</w:t>
            </w:r>
          </w:p>
        </w:tc>
        <w:tc>
          <w:tcPr/>
          <w:p>
            <w:pPr>
              <w:pStyle w:val="Compact"/>
              <w:jc w:val="left"/>
            </w:pPr>
            <w:r>
              <w:t xml:space="preserve">all six enacted cycles</w:t>
            </w:r>
          </w:p>
        </w:tc>
        <w:tc>
          <w:tcPr/>
          <w:p>
            <w:pPr>
              <w:pStyle w:val="Compact"/>
              <w:jc w:val="left"/>
            </w:pPr>
            <w:r>
              <w:t xml:space="preserve">SCDOT must publish its project priority lists — and the engineering directives explaining the ranking methodology — in a conspicuous, publicly accessible place on its website.</w:t>
            </w:r>
          </w:p>
        </w:tc>
      </w:tr>
      <w:tr>
        <w:tc>
          <w:tcPr/>
          <w:p>
            <w:pPr>
              <w:pStyle w:val="Compact"/>
              <w:jc w:val="left"/>
            </w:pPr>
            <w:r>
              <w:t xml:space="preserve">DOT: Preventative Maintenance Credit (84.12)</w:t>
            </w:r>
          </w:p>
        </w:tc>
        <w:tc>
          <w:tcPr/>
          <w:p>
            <w:pPr>
              <w:pStyle w:val="Compact"/>
              <w:jc w:val="left"/>
            </w:pPr>
            <w:r>
              <w:t xml:space="preserve">FY 2021-22 → FY 2024-25</w:t>
            </w:r>
          </w:p>
        </w:tc>
        <w:tc>
          <w:tcPr/>
          <w:p>
            <w:pPr>
              <w:pStyle w:val="Compact"/>
              <w:jc w:val="left"/>
            </w:pPr>
            <w:r>
              <w:t xml:space="preserve">Authorized SCDOT to transfer part of the gas user fee to cover the 2017 act’s preventative-maintenance tax credit for drivers. Stopped appearing in FY 2025-26.</w:t>
            </w:r>
          </w:p>
        </w:tc>
      </w:tr>
      <w:tr>
        <w:tc>
          <w:tcPr/>
          <w:p>
            <w:pPr>
              <w:pStyle w:val="Compact"/>
              <w:jc w:val="left"/>
            </w:pPr>
            <w:r>
              <w:t xml:space="preserve">DOT: Programmed Project Viewer Dashboard (84.18 → 84.16 → 84.15)</w:t>
            </w:r>
          </w:p>
        </w:tc>
        <w:tc>
          <w:tcPr/>
          <w:p>
            <w:pPr>
              <w:pStyle w:val="Compact"/>
              <w:jc w:val="left"/>
            </w:pPr>
            <w:r>
              <w:t xml:space="preserve">FY 2024-25 onward</w:t>
            </w:r>
          </w:p>
        </w:tc>
        <w:tc>
          <w:tcPr/>
          <w:p>
            <w:pPr>
              <w:pStyle w:val="Compact"/>
              <w:jc w:val="left"/>
            </w:pPr>
            <w:r>
              <w:t xml:space="preserve">Directs SCDOT to upgrade its public project dashboard: every project’s status, forecast versus actual cost, projected completion date, and an on-time/on-budget list, with quarterly reports to the budget chairmen.</w:t>
            </w:r>
          </w:p>
        </w:tc>
      </w:tr>
    </w:tbl>
    <w:bookmarkEnd w:id="68"/>
    <w:bookmarkStart w:id="69" w:name="one-time-money-and-new-items"/>
    <w:p>
      <w:pPr>
        <w:pStyle w:val="Heading2"/>
      </w:pPr>
      <w:r>
        <w:t xml:space="preserve">One-time money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117.96 (GP: School Construction Development Impact Fee Assessment Prohibition)</w:t>
            </w:r>
          </w:p>
        </w:tc>
        <w:tc>
          <w:tcPr/>
          <w:p>
            <w:pPr>
              <w:pStyle w:val="Compact"/>
              <w:jc w:val="left"/>
            </w:pPr>
            <w:r>
              <w:t xml:space="preserve">Barred local governments from charging development impact fees on new school construction, on pain of losing state aid. One year only; not renewed — the record’s only enacted impact-fee rule.</w:t>
            </w:r>
          </w:p>
        </w:tc>
      </w:tr>
      <w:tr>
        <w:tc>
          <w:tcPr/>
          <w:p>
            <w:pPr>
              <w:pStyle w:val="Compact"/>
              <w:jc w:val="left"/>
            </w:pPr>
            <w:r>
              <w:t xml:space="preserve">2021-22</w:t>
            </w:r>
          </w:p>
        </w:tc>
        <w:tc>
          <w:tcPr/>
          <w:p>
            <w:pPr>
              <w:pStyle w:val="Compact"/>
              <w:jc w:val="left"/>
            </w:pPr>
            <w:r>
              <w:t xml:space="preserve">118.18 (SR: Nonrecurring Revenue)</w:t>
            </w:r>
          </w:p>
        </w:tc>
        <w:tc>
          <w:tcPr/>
          <w:p>
            <w:pPr>
              <w:pStyle w:val="Compact"/>
              <w:jc w:val="left"/>
            </w:pPr>
            <w:r>
              <w:t xml:space="preserve">One-time money including $200,000,000 for the State Ports Authority’s intermodal container transfer facility and waterborne cargo infrastructure.</w:t>
            </w:r>
          </w:p>
        </w:tc>
      </w:tr>
      <w:tr>
        <w:tc>
          <w:tcPr/>
          <w:p>
            <w:pPr>
              <w:pStyle w:val="Compact"/>
              <w:jc w:val="left"/>
            </w:pPr>
            <w:r>
              <w:t xml:space="preserve">2022-23</w:t>
            </w:r>
          </w:p>
        </w:tc>
        <w:tc>
          <w:tcPr/>
          <w:p>
            <w:pPr>
              <w:pStyle w:val="Compact"/>
              <w:jc w:val="left"/>
            </w:pPr>
            <w:r>
              <w:t xml:space="preserve">118.19 (SR: Nonrecurring Revenue)</w:t>
            </w:r>
          </w:p>
        </w:tc>
        <w:tc>
          <w:tcPr/>
          <w:p>
            <w:pPr>
              <w:pStyle w:val="Compact"/>
              <w:jc w:val="left"/>
            </w:pPr>
            <w:r>
              <w:t xml:space="preserve">$133,636,230 for SCDOT Rural Interstate Funding.</w:t>
            </w:r>
          </w:p>
        </w:tc>
      </w:tr>
      <w:tr>
        <w:tc>
          <w:tcPr/>
          <w:p>
            <w:pPr>
              <w:pStyle w:val="Compact"/>
              <w:jc w:val="left"/>
            </w:pPr>
            <w:r>
              <w:t xml:space="preserve">2024-25</w:t>
            </w:r>
          </w:p>
        </w:tc>
        <w:tc>
          <w:tcPr/>
          <w:p>
            <w:pPr>
              <w:pStyle w:val="Compact"/>
              <w:jc w:val="left"/>
            </w:pPr>
            <w:r>
              <w:t xml:space="preserve">118.22 (SR: Homestead Exemption Fund)</w:t>
            </w:r>
          </w:p>
        </w:tc>
        <w:tc>
          <w:tcPr/>
          <w:p>
            <w:pPr>
              <w:pStyle w:val="Compact"/>
              <w:jc w:val="left"/>
            </w:pPr>
            <w:r>
              <w:t xml:space="preserve">The record’s largest one-year roads package, from a $600M fund sweep: $200,000,000 CTC Acceleration Fund; $100,000,000 Bridge Acceleration Fund; $117,401,000 Rural Road Safety Program.</w:t>
            </w:r>
          </w:p>
        </w:tc>
      </w:tr>
      <w:tr>
        <w:tc>
          <w:tcPr/>
          <w:p>
            <w:pPr>
              <w:pStyle w:val="Compact"/>
              <w:jc w:val="left"/>
            </w:pPr>
            <w:r>
              <w:t xml:space="preserve">2025-26</w:t>
            </w:r>
          </w:p>
        </w:tc>
        <w:tc>
          <w:tcPr/>
          <w:p>
            <w:pPr>
              <w:pStyle w:val="Compact"/>
              <w:jc w:val="left"/>
            </w:pPr>
            <w:r>
              <w:t xml:space="preserve">118.22 (SR: Nonrecurring Revenue)</w:t>
            </w:r>
          </w:p>
        </w:tc>
        <w:tc>
          <w:tcPr/>
          <w:p>
            <w:pPr>
              <w:pStyle w:val="Compact"/>
              <w:jc w:val="left"/>
            </w:pPr>
            <w:r>
              <w:t xml:space="preserve">$200,000,000 for SCDOT Bridge Modernization.</w:t>
            </w:r>
          </w:p>
        </w:tc>
      </w:tr>
      <w:tr>
        <w:tc>
          <w:tcPr/>
          <w:p>
            <w:pPr>
              <w:pStyle w:val="Compact"/>
              <w:jc w:val="left"/>
            </w:pPr>
            <w:r>
              <w:t xml:space="preserve">2026-27</w:t>
            </w:r>
          </w:p>
        </w:tc>
        <w:tc>
          <w:tcPr/>
          <w:p>
            <w:pPr>
              <w:pStyle w:val="Compact"/>
              <w:jc w:val="left"/>
            </w:pPr>
            <w:r>
              <w:t xml:space="preserve">118.21 (SR: Nonrecurring Revenue)</w:t>
            </w:r>
          </w:p>
        </w:tc>
        <w:tc>
          <w:tcPr/>
          <w:p>
            <w:pPr>
              <w:pStyle w:val="Compact"/>
              <w:jc w:val="left"/>
            </w:pPr>
            <w:r>
              <w:t xml:space="preserve">$175,000,000 CTC Acceleration; $50,000,000 Bridge Modernization.</w:t>
            </w:r>
          </w:p>
        </w:tc>
      </w:tr>
      <w:tr>
        <w:tc>
          <w:tcPr/>
          <w:p>
            <w:pPr>
              <w:pStyle w:val="Compact"/>
              <w:jc w:val="left"/>
            </w:pPr>
            <w:r>
              <w:t xml:space="preserve">2026-27</w:t>
            </w:r>
          </w:p>
        </w:tc>
        <w:tc>
          <w:tcPr/>
          <w:p>
            <w:pPr>
              <w:pStyle w:val="Compact"/>
              <w:jc w:val="left"/>
            </w:pPr>
            <w:r>
              <w:t xml:space="preserve">84.18 (DOT: Road Buyback Program) —</w:t>
            </w:r>
            <w:r>
              <w:t xml:space="preserve"> </w:t>
            </w:r>
            <w:r>
              <w:rPr>
                <w:bCs/>
                <w:b/>
              </w:rPr>
              <w:t xml:space="preserve">new</w:t>
            </w:r>
          </w:p>
        </w:tc>
        <w:tc>
          <w:tcPr/>
          <w:p>
            <w:pPr>
              <w:pStyle w:val="Compact"/>
              <w:jc w:val="left"/>
            </w:pPr>
            <w:r>
              <w:t xml:space="preserve">SCDOT must identify state roads that no longer serve a statewide purpose and negotiate transferring them to counties and cities, with buyback funds covering resurfacing and transition costs; report due February 28, 2027.</w:t>
            </w:r>
          </w:p>
        </w:tc>
      </w:tr>
    </w:tbl>
    <w:bookmarkEnd w:id="69"/>
    <w:bookmarkStart w:id="70"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Fix-it-first rule</w:t>
            </w:r>
          </w:p>
        </w:tc>
        <w:tc>
          <w:tcPr/>
          <w:p>
            <w:pPr>
              <w:pStyle w:val="Compact"/>
              <w:jc w:val="left"/>
            </w:pPr>
            <w:r>
              <w:t xml:space="preserve">Transparency rules</w:t>
            </w:r>
          </w:p>
        </w:tc>
        <w:tc>
          <w:tcPr/>
          <w:p>
            <w:pPr>
              <w:pStyle w:val="Compact"/>
              <w:jc w:val="left"/>
            </w:pPr>
            <w:r>
              <w:t xml:space="preserve">One-time roads money</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86.1</w:t>
            </w:r>
          </w:p>
        </w:tc>
        <w:tc>
          <w:tcPr/>
          <w:p>
            <w:pPr>
              <w:pStyle w:val="Compact"/>
              <w:jc w:val="left"/>
            </w:pPr>
            <w:r>
              <w:t xml:space="preserve">84.9 priority lists</w:t>
            </w:r>
          </w:p>
        </w:tc>
        <w:tc>
          <w:tcPr/>
          <w:p>
            <w:pPr>
              <w:pStyle w:val="Compact"/>
              <w:jc w:val="left"/>
            </w:pPr>
            <w:r>
              <w:t xml:space="preserve">$200M ports (118.18)</w:t>
            </w:r>
          </w:p>
        </w:tc>
        <w:tc>
          <w:tcPr/>
          <w:p>
            <w:pPr>
              <w:pStyle w:val="Compact"/>
              <w:jc w:val="left"/>
            </w:pPr>
            <w:r>
              <w:t xml:space="preserve">117.96 school impact-fee prohibition (one year); 84.12 maintenance credit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$133.6M rural interstates (118.19)</w:t>
            </w:r>
          </w:p>
        </w:tc>
        <w:tc>
          <w:tcPr/>
          <w:p>
            <w:pPr>
              <w:pStyle w:val="Compact"/>
              <w:jc w:val="left"/>
            </w:pPr>
            <w:r>
              <w:t xml:space="preserve">84.12</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 (minor items only)</w:t>
            </w:r>
          </w:p>
        </w:tc>
        <w:tc>
          <w:tcPr/>
          <w:p>
            <w:pPr>
              <w:pStyle w:val="Compact"/>
              <w:jc w:val="left"/>
            </w:pPr>
            <w:r>
              <w:t xml:space="preserve">84.12</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86.1</w:t>
            </w:r>
          </w:p>
        </w:tc>
        <w:tc>
          <w:tcPr/>
          <w:p>
            <w:pPr>
              <w:pStyle w:val="Compact"/>
              <w:jc w:val="left"/>
            </w:pPr>
            <w:r>
              <w:t xml:space="preserve">84.9; 84.18 dashboard (new)</w:t>
            </w:r>
          </w:p>
        </w:tc>
        <w:tc>
          <w:tcPr/>
          <w:p>
            <w:pPr>
              <w:pStyle w:val="Compact"/>
              <w:jc w:val="left"/>
            </w:pPr>
            <w:r>
              <w:t xml:space="preserve">$417.4M package (118.22)</w:t>
            </w:r>
          </w:p>
        </w:tc>
        <w:tc>
          <w:tcPr/>
          <w:p>
            <w:pPr>
              <w:pStyle w:val="Compact"/>
              <w:jc w:val="left"/>
            </w:pPr>
            <w:r>
              <w:t xml:space="preserve">84.12 (last appearance)</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86.1</w:t>
            </w:r>
          </w:p>
        </w:tc>
        <w:tc>
          <w:tcPr/>
          <w:p>
            <w:pPr>
              <w:pStyle w:val="Compact"/>
              <w:jc w:val="left"/>
            </w:pPr>
            <w:r>
              <w:t xml:space="preserve">84.8; 84.16 dashboard</w:t>
            </w:r>
          </w:p>
        </w:tc>
        <w:tc>
          <w:tcPr/>
          <w:p>
            <w:pPr>
              <w:pStyle w:val="Compact"/>
              <w:jc w:val="left"/>
            </w:pPr>
            <w:r>
              <w:t xml:space="preserve">$200M bridges (118.22)</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86.1</w:t>
            </w:r>
          </w:p>
        </w:tc>
        <w:tc>
          <w:tcPr/>
          <w:p>
            <w:pPr>
              <w:pStyle w:val="Compact"/>
              <w:jc w:val="left"/>
            </w:pPr>
            <w:r>
              <w:t xml:space="preserve">84.8; 84.15 dashboard</w:t>
            </w:r>
          </w:p>
        </w:tc>
        <w:tc>
          <w:tcPr/>
          <w:p>
            <w:pPr>
              <w:pStyle w:val="Compact"/>
              <w:jc w:val="left"/>
            </w:pPr>
            <w:r>
              <w:t xml:space="preserve">$225M (118.21)</w:t>
            </w:r>
          </w:p>
        </w:tc>
        <w:tc>
          <w:tcPr/>
          <w:p>
            <w:pPr>
              <w:pStyle w:val="Compact"/>
              <w:jc w:val="left"/>
            </w:pPr>
            <w:r>
              <w:t xml:space="preserve">84.18 Road Buyback Program (new)</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70"/>
    <w:bookmarkEnd w:id="71"/>
    <w:bookmarkStart w:id="77" w:name="X4d073987b02193ee2880fbde6e270a6256cef52"/>
    <w:p>
      <w:pPr>
        <w:pStyle w:val="Heading1"/>
      </w:pPr>
      <w:r>
        <w:t xml:space="preserve">Appendix H — The five citizen proposals against the record</w:t>
      </w:r>
    </w:p>
    <w:p>
      <w:pPr>
        <w:pStyle w:val="FirstParagraph"/>
      </w:pPr>
      <w:r>
        <w:t xml:space="preserve">The Phase 2 Community Conversations (June–August 2026) produced five</w:t>
      </w:r>
      <w:r>
        <w:t xml:space="preserve"> </w:t>
      </w:r>
      <w:r>
        <w:t xml:space="preserve">growth-and-roads proposals, per the final proposal grid (</w:t>
      </w:r>
      <w:r>
        <w:t xml:space="preserve">“</w:t>
      </w:r>
      <w:r>
        <w:t xml:space="preserve">SC1 - Growth</w:t>
      </w:r>
      <w:r>
        <w:t xml:space="preserve"> </w:t>
      </w:r>
      <w:r>
        <w:t xml:space="preserve">Infrastructure Roads</w:t>
      </w:r>
      <w:r>
        <w:t xml:space="preserve">”</w:t>
      </w:r>
      <w:r>
        <w:t xml:space="preserve">, received 2026-09-04). They are Forum process input —</w:t>
      </w:r>
      <w:r>
        <w:t xml:space="preserve"> </w:t>
      </w:r>
      <w:r>
        <w:t xml:space="preserve">what participants proposed, at what frequency and consensus — not verified</w:t>
      </w:r>
      <w:r>
        <w:t xml:space="preserve"> </w:t>
      </w:r>
      <w:r>
        <w:t xml:space="preserve">facts. This appendix matches each proposal against the 2019–2026</w:t>
      </w:r>
      <w:r>
        <w:t xml:space="preserve"> </w:t>
      </w:r>
      <w:r>
        <w:t xml:space="preserve">legislative record.</w:t>
      </w:r>
    </w:p>
    <w:p>
      <w:pPr>
        <w:pStyle w:val="BodyText"/>
      </w:pPr>
      <w:r>
        <w:t xml:space="preserve">Provenance note: the final grid supersedes the seven-proposal draft grid</w:t>
      </w:r>
      <w:r>
        <w:t xml:space="preserve"> </w:t>
      </w:r>
      <w:r>
        <w:t xml:space="preserve">(</w:t>
      </w:r>
      <w:r>
        <w:t xml:space="preserve">“</w:t>
      </w:r>
      <w:r>
        <w:t xml:space="preserve">SC1 – Phase 2 Constituent Proposals – Grid View for Legislators v2</w:t>
      </w:r>
      <w:r>
        <w:t xml:space="preserve">”</w:t>
      </w:r>
      <w:r>
        <w:t xml:space="preserve">) this</w:t>
      </w:r>
      <w:r>
        <w:t xml:space="preserve"> </w:t>
      </w:r>
      <w:r>
        <w:t xml:space="preserve">issue’s config originally carried. The draft’s standalone developer-pays</w:t>
      </w:r>
      <w:r>
        <w:t xml:space="preserve"> </w:t>
      </w:r>
      <w:r>
        <w:t xml:space="preserve">proposal does not appear in the final grid — its subject, impact fees, is</w:t>
      </w:r>
      <w:r>
        <w:t xml:space="preserve"> </w:t>
      </w:r>
      <w:r>
        <w:t xml:space="preserve">named inside the funding-tools proposal and the impact-fee record is</w:t>
      </w:r>
      <w:r>
        <w:t xml:space="preserve"> </w:t>
      </w:r>
      <w:r>
        <w:t xml:space="preserve">presented there. The draft’s multimodal-transport proposal was also</w:t>
      </w:r>
      <w:r>
        <w:t xml:space="preserve"> </w:t>
      </w:r>
      <w:r>
        <w:t xml:space="preserve">dropped; the transit and rail legislative record remains in Appendices A–C</w:t>
      </w:r>
      <w:r>
        <w:t xml:space="preserve"> </w:t>
      </w:r>
      <w:r>
        <w:t xml:space="preserve">under its theme, without a proposal label.</w:t>
      </w:r>
    </w:p>
    <w:bookmarkStart w:id="72" w:name="X1534570d85845115b04e824c6c3fc2c71173db6"/>
    <w:p>
      <w:pPr>
        <w:pStyle w:val="Heading2"/>
      </w:pPr>
      <w:r>
        <w:t xml:space="preserve">[P-local-funding-tools] New or expanded local funding tools (penny / sales tax, impact fees, tolls, parking fees)</w:t>
      </w:r>
    </w:p>
    <w:p>
      <w:pPr>
        <w:numPr>
          <w:ilvl w:val="0"/>
          <w:numId w:val="1013"/>
        </w:numPr>
        <w:pStyle w:val="Compact"/>
      </w:pPr>
      <w:r>
        <w:rPr>
          <w:bCs/>
          <w:b/>
        </w:rPr>
        <w:t xml:space="preserve">What citizens said (final grid):</w:t>
      </w:r>
      <w:r>
        <w:t xml:space="preserve"> </w:t>
      </w:r>
      <w:r>
        <w:t xml:space="preserve">give local governments new or</w:t>
      </w:r>
      <w:r>
        <w:t xml:space="preserve"> </w:t>
      </w:r>
      <w:r>
        <w:t xml:space="preserve">expanded funding tools. Frequency High — Columbia, Florence, and</w:t>
      </w:r>
      <w:r>
        <w:t xml:space="preserve"> </w:t>
      </w:r>
      <w:r>
        <w:t xml:space="preserve">Charleston. Consensus High — broad agreement that the state needs to look</w:t>
      </w:r>
      <w:r>
        <w:t xml:space="preserve"> </w:t>
      </w:r>
      <w:r>
        <w:t xml:space="preserve">for new sources of funding. Tradeoff/concern: people don’t like being</w:t>
      </w:r>
      <w:r>
        <w:t xml:space="preserve"> </w:t>
      </w:r>
      <w:r>
        <w:t xml:space="preserve">taxed if they don’t know where the money is going — participants attached</w:t>
      </w:r>
      <w:r>
        <w:t xml:space="preserve"> </w:t>
      </w:r>
      <w:r>
        <w:t xml:space="preserve">the condition that any taxes come with greater transparency.</w:t>
      </w:r>
    </w:p>
    <w:p>
      <w:pPr>
        <w:numPr>
          <w:ilvl w:val="0"/>
          <w:numId w:val="1013"/>
        </w:numPr>
        <w:pStyle w:val="Compact"/>
      </w:pPr>
      <w:r>
        <w:rPr>
          <w:bCs/>
          <w:b/>
        </w:rPr>
        <w:t xml:space="preserve">What the record shows — the tax tools:</w:t>
      </w:r>
      <w:r>
        <w:t xml:space="preserve"> </w:t>
      </w:r>
      <w:r>
        <w:t xml:space="preserve">the tools mostly exist —</w:t>
      </w:r>
      <w:r>
        <w:t xml:space="preserve"> </w:t>
      </w:r>
      <w:r>
        <w:t xml:space="preserve">referendum-gated penny taxes for transportation (which can include</w:t>
      </w:r>
      <w:r>
        <w:t xml:space="preserve"> </w:t>
      </w:r>
      <w:r>
        <w:t xml:space="preserve">tolls) and capital projects. Bills widening them (transit eligibility,</w:t>
      </w:r>
      <w:r>
        <w:t xml:space="preserve"> </w:t>
      </w:r>
      <w:r>
        <w:t xml:space="preserve">stacking, longer terms, grocery carve-outs) died unheard in the money</w:t>
      </w:r>
      <w:r>
        <w:t xml:space="preserve"> </w:t>
      </w:r>
      <w:r>
        <w:t xml:space="preserve">committees in all four sessions; all five I-95 toll bills and the</w:t>
      </w:r>
      <w:r>
        <w:t xml:space="preserve"> </w:t>
      </w:r>
      <w:r>
        <w:t xml:space="preserve">local-option gas fee died the same way. The one new tool enacted is the</w:t>
      </w:r>
      <w:r>
        <w:t xml:space="preserve"> </w:t>
      </w:r>
      <w:r>
        <w:t xml:space="preserve">County Green Space Sales Tax (Act 166 of 2022) — for preservation, not</w:t>
      </w:r>
      <w:r>
        <w:t xml:space="preserve"> </w:t>
      </w:r>
      <w:r>
        <w:t xml:space="preserve">roads. Flexibility acts passed at the edges (tourism-tax drainage</w:t>
      </w:r>
      <w:r>
        <w:t xml:space="preserve"> </w:t>
      </w:r>
      <w:r>
        <w:t xml:space="preserve">repairs, beach parking, the school penny), and the SCDOT Modernization</w:t>
      </w:r>
      <w:r>
        <w:t xml:space="preserve"> </w:t>
      </w:r>
      <w:r>
        <w:t xml:space="preserve">Act (Act 177 of 2026) rewrote the state toll framework: usage charges</w:t>
      </w:r>
      <w:r>
        <w:t xml:space="preserve"> </w:t>
      </w:r>
      <w:r>
        <w:t xml:space="preserve">only on new-capacity</w:t>
      </w:r>
      <w:r>
        <w:t xml:space="preserve"> </w:t>
      </w:r>
      <w:r>
        <w:t xml:space="preserve">“</w:t>
      </w:r>
      <w:r>
        <w:t xml:space="preserve">choice lanes.</w:t>
      </w:r>
      <w:r>
        <w:t xml:space="preserve">”</w:t>
      </w:r>
    </w:p>
    <w:p>
      <w:pPr>
        <w:numPr>
          <w:ilvl w:val="0"/>
          <w:numId w:val="1013"/>
        </w:numPr>
        <w:pStyle w:val="Compact"/>
      </w:pPr>
      <w:r>
        <w:rPr>
          <w:bCs/>
          <w:b/>
        </w:rPr>
        <w:t xml:space="preserve">What the record shows — the impact-fee tool:</w:t>
      </w:r>
      <w:r>
        <w:t xml:space="preserve"> </w:t>
      </w:r>
      <w:r>
        <w:t xml:space="preserve">legal since 1999 (the</w:t>
      </w:r>
      <w:r>
        <w:t xml:space="preserve"> </w:t>
      </w:r>
      <w:r>
        <w:t xml:space="preserve">Development Impact Fee Act, Section 6-1-910 et seq.) with strict limits</w:t>
      </w:r>
      <w:r>
        <w:t xml:space="preserve"> </w:t>
      </w:r>
      <w:r>
        <w:t xml:space="preserve">(no maintenance funding). Ten bills fought over the Act in both</w:t>
      </w:r>
      <w:r>
        <w:t xml:space="preserve"> </w:t>
      </w:r>
      <w:r>
        <w:t xml:space="preserve">directions — expansion and industry-side narrowing — and not one</w:t>
      </w:r>
      <w:r>
        <w:t xml:space="preserve"> </w:t>
      </w:r>
      <w:r>
        <w:t xml:space="preserve">received a hearing in eight years. The single enacted impact-fee rule</w:t>
      </w:r>
      <w:r>
        <w:t xml:space="preserve"> </w:t>
      </w:r>
      <w:r>
        <w:t xml:space="preserve">blocked the fees (the FY 2021-22 school-construction prohibition, one</w:t>
      </w:r>
      <w:r>
        <w:t xml:space="preserve"> </w:t>
      </w:r>
      <w:r>
        <w:t xml:space="preserve">year, not renewed).</w:t>
      </w:r>
    </w:p>
    <w:p>
      <w:pPr>
        <w:numPr>
          <w:ilvl w:val="0"/>
          <w:numId w:val="1013"/>
        </w:numPr>
        <w:pStyle w:val="Compact"/>
      </w:pPr>
      <w:r>
        <w:rPr>
          <w:bCs/>
          <w:b/>
        </w:rPr>
        <w:t xml:space="preserve">The transparency condition:</w:t>
      </w:r>
      <w:r>
        <w:t xml:space="preserve"> </w:t>
      </w:r>
      <w:r>
        <w:t xml:space="preserve">structurally present in existing law —</w:t>
      </w:r>
      <w:r>
        <w:t xml:space="preserve"> </w:t>
      </w:r>
      <w:r>
        <w:t xml:space="preserve">every local tax tool here requires a referendum whose ballot question</w:t>
      </w:r>
      <w:r>
        <w:t xml:space="preserve"> </w:t>
      </w:r>
      <w:r>
        <w:t xml:space="preserve">lists the projects the money will fund.</w:t>
      </w:r>
    </w:p>
    <w:p>
      <w:pPr>
        <w:numPr>
          <w:ilvl w:val="0"/>
          <w:numId w:val="1013"/>
        </w:numPr>
        <w:pStyle w:val="Compact"/>
      </w:pPr>
      <w:r>
        <w:rPr>
          <w:bCs/>
          <w:b/>
        </w:rPr>
        <w:t xml:space="preserve">Status:</w:t>
      </w:r>
      <w:r>
        <w:t xml:space="preserve"> </w:t>
      </w:r>
      <w:r>
        <w:t xml:space="preserve">tools partially existing law; expansions of both tools</w:t>
      </w:r>
      <w:r>
        <w:t xml:space="preserve"> </w:t>
      </w:r>
      <w:r>
        <w:t xml:space="preserve">rarely moved.</w:t>
      </w:r>
    </w:p>
    <w:bookmarkEnd w:id="72"/>
    <w:bookmarkStart w:id="73" w:name="X61b0811541ace43491abbe02083fbbe9e13dafa"/>
    <w:p>
      <w:pPr>
        <w:pStyle w:val="Heading2"/>
      </w:pPr>
      <w:r>
        <w:t xml:space="preserve">[P-state-master-planning] State comprehensive / master planning vs. fragmented county plans; regional control</w:t>
      </w:r>
    </w:p>
    <w:p>
      <w:pPr>
        <w:numPr>
          <w:ilvl w:val="0"/>
          <w:numId w:val="1014"/>
        </w:numPr>
        <w:pStyle w:val="Compact"/>
      </w:pPr>
      <w:r>
        <w:rPr>
          <w:bCs/>
          <w:b/>
        </w:rPr>
        <w:t xml:space="preserve">What citizens said (final grid):</w:t>
      </w:r>
      <w:r>
        <w:t xml:space="preserve"> </w:t>
      </w:r>
      <w:r>
        <w:t xml:space="preserve">state comprehensive/master planning</w:t>
      </w:r>
      <w:r>
        <w:t xml:space="preserve"> </w:t>
      </w:r>
      <w:r>
        <w:t xml:space="preserve">instead of fragmented county plans; regional control. Frequency Very</w:t>
      </w:r>
      <w:r>
        <w:t xml:space="preserve"> </w:t>
      </w:r>
      <w:r>
        <w:t xml:space="preserve">High — all four community conversations. Consensus Mixed — some cited</w:t>
      </w:r>
      <w:r>
        <w:t xml:space="preserve"> </w:t>
      </w:r>
      <w:r>
        <w:t xml:space="preserve">the efficiency gains from centralized planning while others remained</w:t>
      </w:r>
      <w:r>
        <w:t xml:space="preserve"> </w:t>
      </w:r>
      <w:r>
        <w:t xml:space="preserve">skeptical of removing local control; it was a consensus recommendation</w:t>
      </w:r>
      <w:r>
        <w:t xml:space="preserve"> </w:t>
      </w:r>
      <w:r>
        <w:t xml:space="preserve">in Charleston. Tradeoff/concern: removing local control could allow the</w:t>
      </w:r>
      <w:r>
        <w:t xml:space="preserve"> </w:t>
      </w:r>
      <w:r>
        <w:t xml:space="preserve">state to go against residents’ wishes.</w:t>
      </w:r>
    </w:p>
    <w:p>
      <w:pPr>
        <w:numPr>
          <w:ilvl w:val="0"/>
          <w:numId w:val="1014"/>
        </w:numPr>
        <w:pStyle w:val="Compact"/>
      </w:pPr>
      <w:r>
        <w:rPr>
          <w:bCs/>
          <w:b/>
        </w:rPr>
        <w:t xml:space="preserve">What the record shows:</w:t>
      </w:r>
      <w:r>
        <w:t xml:space="preserve"> </w:t>
      </w:r>
      <w:r>
        <w:t xml:space="preserve">the lever citizens described has never been</w:t>
      </w:r>
      <w:r>
        <w:t xml:space="preserve"> </w:t>
      </w:r>
      <w:r>
        <w:t xml:space="preserve">filed — no state- or regional-planning bill exists in this record. What</w:t>
      </w:r>
      <w:r>
        <w:t xml:space="preserve"> </w:t>
      </w:r>
      <w:r>
        <w:t xml:space="preserve">exists: one enacted state layer on local plans (the resilience act,</w:t>
      </w:r>
      <w:r>
        <w:t xml:space="preserve"> </w:t>
      </w:r>
      <w:r>
        <w:t xml:space="preserve">Act 163 of 2020), the concurrency bills (S227 died at the last step in</w:t>
      </w:r>
      <w:r>
        <w:t xml:space="preserve"> </w:t>
      </w:r>
      <w:r>
        <w:t xml:space="preserve">2026), zoning-impact-assessment and annexation-control bills (all died in</w:t>
      </w:r>
      <w:r>
        <w:t xml:space="preserve"> </w:t>
      </w:r>
      <w:r>
        <w:t xml:space="preserve">committee), and a developer-side counter-current pulling the opposite</w:t>
      </w:r>
      <w:r>
        <w:t xml:space="preserve"> </w:t>
      </w:r>
      <w:r>
        <w:t xml:space="preserve">direction (also died). The one enacted state-over-local land-use rule is</w:t>
      </w:r>
      <w:r>
        <w:t xml:space="preserve"> </w:t>
      </w:r>
      <w:r>
        <w:t xml:space="preserve">the 5G small-cell act (Act 179 of 2020). The record mirrors the</w:t>
      </w:r>
      <w:r>
        <w:t xml:space="preserve"> </w:t>
      </w:r>
      <w:r>
        <w:t xml:space="preserve">tradeoff citizens named: bills pulling toward state authority and bills</w:t>
      </w:r>
      <w:r>
        <w:t xml:space="preserve"> </w:t>
      </w:r>
      <w:r>
        <w:t xml:space="preserve">pulling toward local/developer flexibility died in the same committees.</w:t>
      </w:r>
    </w:p>
    <w:p>
      <w:pPr>
        <w:numPr>
          <w:ilvl w:val="0"/>
          <w:numId w:val="1014"/>
        </w:numPr>
        <w:pStyle w:val="Compact"/>
      </w:pPr>
      <w:r>
        <w:rPr>
          <w:bCs/>
          <w:b/>
        </w:rPr>
        <w:t xml:space="preserve">Status:</w:t>
      </w:r>
      <w:r>
        <w:t xml:space="preserve"> </w:t>
      </w:r>
      <w:r>
        <w:t xml:space="preserve">never filed (as described); adjacent designs mixed.</w:t>
      </w:r>
    </w:p>
    <w:bookmarkEnd w:id="73"/>
    <w:bookmarkStart w:id="74" w:name="X9b24152898da276ec821145dd7f9cd28e71d6d1"/>
    <w:p>
      <w:pPr>
        <w:pStyle w:val="Heading2"/>
      </w:pPr>
      <w:r>
        <w:t xml:space="preserve">[P-fix-roads-first] Fix the roads we’ve got first</w:t>
      </w:r>
    </w:p>
    <w:p>
      <w:pPr>
        <w:numPr>
          <w:ilvl w:val="0"/>
          <w:numId w:val="1015"/>
        </w:numPr>
        <w:pStyle w:val="Compact"/>
      </w:pPr>
      <w:r>
        <w:rPr>
          <w:bCs/>
          <w:b/>
        </w:rPr>
        <w:t xml:space="preserve">What citizens said (final grid):</w:t>
      </w:r>
      <w:r>
        <w:t xml:space="preserve"> </w:t>
      </w:r>
      <w:r>
        <w:t xml:space="preserve">prioritize the roads we already</w:t>
      </w:r>
      <w:r>
        <w:t xml:space="preserve"> </w:t>
      </w:r>
      <w:r>
        <w:t xml:space="preserve">have. Frequency Medium — Columbia and the online session. Consensus</w:t>
      </w:r>
      <w:r>
        <w:t xml:space="preserve"> </w:t>
      </w:r>
      <w:r>
        <w:t xml:space="preserve">Mixed — broad agreement that maintenance needs to be factored in, but</w:t>
      </w:r>
      <w:r>
        <w:t xml:space="preserve"> </w:t>
      </w:r>
      <w:r>
        <w:t xml:space="preserve">many participants want to see expanded infrastructure. Tradeoff/concern:</w:t>
      </w:r>
      <w:r>
        <w:t xml:space="preserve"> </w:t>
      </w:r>
      <w:r>
        <w:t xml:space="preserve">the expense of expansion versus maintaining what is already there; some</w:t>
      </w:r>
      <w:r>
        <w:t xml:space="preserve"> </w:t>
      </w:r>
      <w:r>
        <w:t xml:space="preserve">worried the state was putting too much money toward capital projects and</w:t>
      </w:r>
      <w:r>
        <w:t xml:space="preserve"> </w:t>
      </w:r>
      <w:r>
        <w:t xml:space="preserve">not enough toward maintenance.</w:t>
      </w:r>
    </w:p>
    <w:p>
      <w:pPr>
        <w:numPr>
          <w:ilvl w:val="0"/>
          <w:numId w:val="1015"/>
        </w:numPr>
        <w:pStyle w:val="Compact"/>
      </w:pPr>
      <w:r>
        <w:rPr>
          <w:bCs/>
          <w:b/>
        </w:rPr>
        <w:t xml:space="preserve">What the record shows:</w:t>
      </w:r>
      <w:r>
        <w:t xml:space="preserve"> </w:t>
      </w:r>
      <w:r>
        <w:t xml:space="preserve">every standalone maintenance bill died in</w:t>
      </w:r>
      <w:r>
        <w:t xml:space="preserve"> </w:t>
      </w:r>
      <w:r>
        <w:t xml:space="preserve">first committee (pavement preservation, transferred-roads maintenance,</w:t>
      </w:r>
      <w:r>
        <w:t xml:space="preserve"> </w:t>
      </w:r>
      <w:r>
        <w:t xml:space="preserve">pothole hotlines, hazard reports) — but the pothole-reporting design</w:t>
      </w:r>
      <w:r>
        <w:t xml:space="preserve"> </w:t>
      </w:r>
      <w:r>
        <w:t xml:space="preserve">became permanent law inside the SCDOT Modernization Act (Act 177 of</w:t>
      </w:r>
      <w:r>
        <w:t xml:space="preserve"> </w:t>
      </w:r>
      <w:r>
        <w:t xml:space="preserve">2026): the Pothole Mitigation Program, with public reporting, a</w:t>
      </w:r>
      <w:r>
        <w:t xml:space="preserve"> </w:t>
      </w:r>
      <w:r>
        <w:t xml:space="preserve">seven-day repair requirement, and $15 million a year for repeat</w:t>
      </w:r>
      <w:r>
        <w:t xml:space="preserve"> </w:t>
      </w:r>
      <w:r>
        <w:t xml:space="preserve">potholes. The rest of the idea is real in the budget: the yearly CTC</w:t>
      </w:r>
      <w:r>
        <w:t xml:space="preserve"> </w:t>
      </w:r>
      <w:r>
        <w:t xml:space="preserve">fix-it-first rule (86.1), $417.4M (FY 2024-25), $200M (FY 2025-26),</w:t>
      </w:r>
      <w:r>
        <w:t xml:space="preserve"> </w:t>
      </w:r>
      <w:r>
        <w:t xml:space="preserve">$225M (FY 2026-27) in one-time repair money, and the new Road Buyback</w:t>
      </w:r>
      <w:r>
        <w:t xml:space="preserve"> </w:t>
      </w:r>
      <w:r>
        <w:t xml:space="preserve">Program — one-year rules and one-time sums, not permanent law. The</w:t>
      </w:r>
      <w:r>
        <w:t xml:space="preserve"> </w:t>
      </w:r>
      <w:r>
        <w:t xml:space="preserve">maintenance-versus-capital worry citizens raised maps directly onto that</w:t>
      </w:r>
      <w:r>
        <w:t xml:space="preserve"> </w:t>
      </w:r>
      <w:r>
        <w:t xml:space="preserve">structure: the recurring maintenance rules live in one-year provisos</w:t>
      </w:r>
      <w:r>
        <w:t xml:space="preserve"> </w:t>
      </w:r>
      <w:r>
        <w:t xml:space="preserve">while the big sums arrive as one-time capital-style transfers.</w:t>
      </w:r>
    </w:p>
    <w:p>
      <w:pPr>
        <w:numPr>
          <w:ilvl w:val="0"/>
          <w:numId w:val="1015"/>
        </w:numPr>
        <w:pStyle w:val="Compact"/>
      </w:pPr>
      <w:r>
        <w:rPr>
          <w:bCs/>
          <w:b/>
        </w:rPr>
        <w:t xml:space="preserve">Status:</w:t>
      </w:r>
      <w:r>
        <w:t xml:space="preserve"> </w:t>
      </w:r>
      <w:r>
        <w:t xml:space="preserve">standalone bills rarely moved; one piece enacted inside</w:t>
      </w:r>
      <w:r>
        <w:t xml:space="preserve"> </w:t>
      </w:r>
      <w:r>
        <w:t xml:space="preserve">Act 177; money moved through the budget.</w:t>
      </w:r>
    </w:p>
    <w:bookmarkEnd w:id="74"/>
    <w:bookmarkStart w:id="75" w:name="Xb903357f2ae009fc13d2b2adc9337f31734a345"/>
    <w:p>
      <w:pPr>
        <w:pStyle w:val="Heading2"/>
      </w:pPr>
      <w:r>
        <w:t xml:space="preserve">[P-no-new-taxes] No new taxes / oppose extra taxes and fees</w:t>
      </w:r>
    </w:p>
    <w:p>
      <w:pPr>
        <w:numPr>
          <w:ilvl w:val="0"/>
          <w:numId w:val="1016"/>
        </w:numPr>
        <w:pStyle w:val="Compact"/>
      </w:pPr>
      <w:r>
        <w:rPr>
          <w:bCs/>
          <w:b/>
        </w:rPr>
        <w:t xml:space="preserve">What citizens said (final grid):</w:t>
      </w:r>
      <w:r>
        <w:t xml:space="preserve"> </w:t>
      </w:r>
      <w:r>
        <w:t xml:space="preserve">fund infrastructure without new</w:t>
      </w:r>
      <w:r>
        <w:t xml:space="preserve"> </w:t>
      </w:r>
      <w:r>
        <w:t xml:space="preserve">taxes or fees. Frequency Medium — multiple tables at Columbia and</w:t>
      </w:r>
      <w:r>
        <w:t xml:space="preserve"> </w:t>
      </w:r>
      <w:r>
        <w:t xml:space="preserve">Florence. Consensus Low — sharp disagreement over whether new taxes are</w:t>
      </w:r>
      <w:r>
        <w:t xml:space="preserve"> </w:t>
      </w:r>
      <w:r>
        <w:t xml:space="preserve">essential for improvements or whether keeping costs low is the priority. Tradeoff/concern: some participants argued South Carolina’s low</w:t>
      </w:r>
      <w:r>
        <w:t xml:space="preserve"> </w:t>
      </w:r>
      <w:r>
        <w:t xml:space="preserve">taxes are one reason infrastructure is suffering, while others want to</w:t>
      </w:r>
      <w:r>
        <w:t xml:space="preserve"> </w:t>
      </w:r>
      <w:r>
        <w:t xml:space="preserve">maintain the state’s low taxes.</w:t>
      </w:r>
    </w:p>
    <w:p>
      <w:pPr>
        <w:numPr>
          <w:ilvl w:val="0"/>
          <w:numId w:val="1016"/>
        </w:numPr>
        <w:pStyle w:val="Compact"/>
      </w:pPr>
      <w:r>
        <w:rPr>
          <w:bCs/>
          <w:b/>
        </w:rPr>
        <w:t xml:space="preserve">What the record shows:</w:t>
      </w:r>
      <w:r>
        <w:t xml:space="preserve"> </w:t>
      </w:r>
      <w:r>
        <w:t xml:space="preserve">the no-new-taxes side is fully represented —</w:t>
      </w:r>
      <w:r>
        <w:t xml:space="preserve"> </w:t>
      </w:r>
      <w:r>
        <w:t xml:space="preserve">ten measures to freeze, repeal, or suspend the gas fee — and every one</w:t>
      </w:r>
      <w:r>
        <w:t xml:space="preserve"> </w:t>
      </w:r>
      <w:r>
        <w:t xml:space="preserve">died in the money committees without a vote, exactly like the new-tool</w:t>
      </w:r>
      <w:r>
        <w:t xml:space="preserve"> </w:t>
      </w:r>
      <w:r>
        <w:t xml:space="preserve">bills. The one increase bill (the county gas-fee share) died in the same</w:t>
      </w:r>
      <w:r>
        <w:t xml:space="preserve"> </w:t>
      </w:r>
      <w:r>
        <w:t xml:space="preserve">room. The record mirrors the sharp split citizens showed: neither</w:t>
      </w:r>
      <w:r>
        <w:t xml:space="preserve"> </w:t>
      </w:r>
      <w:r>
        <w:t xml:space="preserve">direction has had a hearing. Where the two sides structurally meet:</w:t>
      </w:r>
      <w:r>
        <w:t xml:space="preserve"> </w:t>
      </w:r>
      <w:r>
        <w:t xml:space="preserve">every local funding tool in the record is referendum-gated, so existing</w:t>
      </w:r>
      <w:r>
        <w:t xml:space="preserve"> </w:t>
      </w:r>
      <w:r>
        <w:t xml:space="preserve">law already resolves the split by letting voters decide county by</w:t>
      </w:r>
      <w:r>
        <w:t xml:space="preserve"> </w:t>
      </w:r>
      <w:r>
        <w:t xml:space="preserve">county.</w:t>
      </w:r>
    </w:p>
    <w:p>
      <w:pPr>
        <w:numPr>
          <w:ilvl w:val="0"/>
          <w:numId w:val="1016"/>
        </w:numPr>
        <w:pStyle w:val="Compact"/>
      </w:pPr>
      <w:r>
        <w:rPr>
          <w:bCs/>
          <w:b/>
        </w:rPr>
        <w:t xml:space="preserve">Status:</w:t>
      </w:r>
      <w:r>
        <w:t xml:space="preserve"> </w:t>
      </w:r>
      <w:r>
        <w:t xml:space="preserve">rarely moved (both directions).</w:t>
      </w:r>
    </w:p>
    <w:bookmarkEnd w:id="75"/>
    <w:bookmarkStart w:id="76" w:name="X648ba35929f83bea307036bb6665126c35fab59"/>
    <w:p>
      <w:pPr>
        <w:pStyle w:val="Heading2"/>
      </w:pPr>
      <w:r>
        <w:t xml:space="preserve">[P-contractor-accountability] Improve the contractor bidding process / hold contractors accountable</w:t>
      </w:r>
    </w:p>
    <w:p>
      <w:pPr>
        <w:numPr>
          <w:ilvl w:val="0"/>
          <w:numId w:val="1017"/>
        </w:numPr>
        <w:pStyle w:val="Compact"/>
      </w:pPr>
      <w:r>
        <w:rPr>
          <w:bCs/>
          <w:b/>
        </w:rPr>
        <w:t xml:space="preserve">What citizens said (final grid):</w:t>
      </w:r>
      <w:r>
        <w:t xml:space="preserve"> </w:t>
      </w:r>
      <w:r>
        <w:t xml:space="preserve">improve how road and infrastructure</w:t>
      </w:r>
      <w:r>
        <w:t xml:space="preserve"> </w:t>
      </w:r>
      <w:r>
        <w:t xml:space="preserve">contracts are bid and hold contractors accountable. Frequency Medium —</w:t>
      </w:r>
      <w:r>
        <w:t xml:space="preserve"> </w:t>
      </w:r>
      <w:r>
        <w:t xml:space="preserve">the online conversation and Greenville. Consensus High — participants</w:t>
      </w:r>
      <w:r>
        <w:t xml:space="preserve"> </w:t>
      </w:r>
      <w:r>
        <w:t xml:space="preserve">widely agreed this could be a low-cost fix. Tradeoff/concern:</w:t>
      </w:r>
      <w:r>
        <w:t xml:space="preserve"> </w:t>
      </w:r>
      <w:r>
        <w:t xml:space="preserve">participants felt the state was not getting quality contractors for road</w:t>
      </w:r>
      <w:r>
        <w:t xml:space="preserve"> </w:t>
      </w:r>
      <w:r>
        <w:t xml:space="preserve">repairs and pushed for more standards and transparency in bidding.</w:t>
      </w:r>
    </w:p>
    <w:p>
      <w:pPr>
        <w:numPr>
          <w:ilvl w:val="0"/>
          <w:numId w:val="1017"/>
        </w:numPr>
        <w:pStyle w:val="Compact"/>
      </w:pPr>
      <w:r>
        <w:rPr>
          <w:bCs/>
          <w:b/>
        </w:rPr>
        <w:t xml:space="preserve">What the record shows:</w:t>
      </w:r>
      <w:r>
        <w:t xml:space="preserve"> </w:t>
      </w:r>
      <w:r>
        <w:t xml:space="preserve">the standalone design-build bills died twice</w:t>
      </w:r>
      <w:r>
        <w:t xml:space="preserve"> </w:t>
      </w:r>
      <w:r>
        <w:t xml:space="preserve">in committee — and the method then passed inside the SCDOT Modernization</w:t>
      </w:r>
      <w:r>
        <w:t xml:space="preserve"> </w:t>
      </w:r>
      <w:r>
        <w:t xml:space="preserve">Act (Act 177 of 2026), which gave SCDOT phased design-build and</w:t>
      </w:r>
      <w:r>
        <w:t xml:space="preserve"> </w:t>
      </w:r>
      <w:r>
        <w:t xml:space="preserve">construction manager/general contractor authority, capped public-private</w:t>
      </w:r>
      <w:r>
        <w:t xml:space="preserve"> </w:t>
      </w:r>
      <w:r>
        <w:t xml:space="preserve">partnership agreements at sixty years, and requires an independent</w:t>
      </w:r>
      <w:r>
        <w:t xml:space="preserve"> </w:t>
      </w:r>
      <w:r>
        <w:t xml:space="preserve">external audit of SCDOT every four years. SCDOT’s own contractor</w:t>
      </w:r>
      <w:r>
        <w:t xml:space="preserve"> </w:t>
      </w:r>
      <w:r>
        <w:t xml:space="preserve">performance-evaluation and disqualification regulations were stranded on</w:t>
      </w:r>
      <w:r>
        <w:t xml:space="preserve"> </w:t>
      </w:r>
      <w:r>
        <w:t xml:space="preserve">the 2020 Senate calendar; expenditure-report certification died in Ways</w:t>
      </w:r>
      <w:r>
        <w:t xml:space="preserve"> </w:t>
      </w:r>
      <w:r>
        <w:t xml:space="preserve">and Means. What exists beyond Act 177 is proviso-based transparency:</w:t>
      </w:r>
      <w:r>
        <w:t xml:space="preserve"> </w:t>
      </w:r>
      <w:r>
        <w:t xml:space="preserve">published project priority lists with ranking methodology (renewed</w:t>
      </w:r>
      <w:r>
        <w:t xml:space="preserve"> </w:t>
      </w:r>
      <w:r>
        <w:t xml:space="preserve">yearly) and the public project dashboard directive with</w:t>
      </w:r>
      <w:r>
        <w:t xml:space="preserve"> </w:t>
      </w:r>
      <w:r>
        <w:t xml:space="preserve">forecast-versus-actual costs (FY 2024-25 onward) — one-year rules that</w:t>
      </w:r>
      <w:r>
        <w:t xml:space="preserve"> </w:t>
      </w:r>
      <w:r>
        <w:t xml:space="preserve">lapse if a budget drops them. Edges passed as law: utility-relocation</w:t>
      </w:r>
      <w:r>
        <w:t xml:space="preserve"> </w:t>
      </w:r>
      <w:r>
        <w:t xml:space="preserve">costs (Act 36 of 2019, extended by Act 244 of 2026) and contractor</w:t>
      </w:r>
      <w:r>
        <w:t xml:space="preserve"> </w:t>
      </w:r>
      <w:r>
        <w:t xml:space="preserve">licensing (Act 69 of 2023).</w:t>
      </w:r>
    </w:p>
    <w:p>
      <w:pPr>
        <w:numPr>
          <w:ilvl w:val="0"/>
          <w:numId w:val="1017"/>
        </w:numPr>
        <w:pStyle w:val="Compact"/>
      </w:pPr>
      <w:r>
        <w:rPr>
          <w:bCs/>
          <w:b/>
        </w:rPr>
        <w:t xml:space="preserve">Status:</w:t>
      </w:r>
      <w:r>
        <w:t xml:space="preserve"> </w:t>
      </w:r>
      <w:r>
        <w:t xml:space="preserve">standalone bills rarely moved; the bidding method and audit</w:t>
      </w:r>
      <w:r>
        <w:t xml:space="preserve"> </w:t>
      </w:r>
      <w:r>
        <w:t xml:space="preserve">were enacted inside Act 177; transparency tools exist as provisos.</w:t>
      </w:r>
    </w:p>
    <w:bookmarkEnd w:id="76"/>
    <w:bookmarkEnd w:id="77"/>
    <w:bookmarkStart w:id="81"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8"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sources/south-carolina/growth-infrastructure-roads/processed/bills-core.json</w:t>
            </w:r>
            <w:r>
              <w:t xml:space="preserve">)</w:t>
            </w:r>
          </w:p>
        </w:tc>
      </w:tr>
      <w:tr>
        <w:tc>
          <w:tcPr/>
          <w:p>
            <w:pPr>
              <w:pStyle w:val="Compact"/>
              <w:jc w:val="left"/>
            </w:pPr>
            <w:r>
              <w:t xml:space="preserve">What each bill would do (plain topics; penny-tax designs; impact-fee changes)</w:t>
            </w:r>
          </w:p>
        </w:tc>
        <w:tc>
          <w:tcPr/>
          <w:p>
            <w:pPr>
              <w:pStyle w:val="Compact"/>
              <w:jc w:val="left"/>
            </w:pPr>
            <w:r>
              <w:t xml:space="preserve">Latest-version full bill text in the universe JSONL, read during curation (</w:t>
            </w:r>
            <w:r>
              <w:rPr>
                <w:rStyle w:val="VerbatimChar"/>
              </w:rPr>
              <w:t xml:space="preserve">working/south-carolina/growth-infrastructure-roads/build-curation.py</w:t>
            </w:r>
            <w:r>
              <w:t xml:space="preserve"> </w:t>
            </w:r>
            <w:r>
              <w:t xml:space="preserve">documents each verification; the</w:t>
            </w:r>
            <w:r>
              <w:t xml:space="preserve"> </w:t>
            </w:r>
            <w:r>
              <w:t xml:space="preserve">“</w:t>
            </w:r>
            <w:r>
              <w:t xml:space="preserve">A BILL TO…</w:t>
            </w:r>
            <w:r>
              <w:t xml:space="preserve">”</w:t>
            </w:r>
            <w:r>
              <w:t xml:space="preserve"> </w:t>
            </w:r>
            <w:r>
              <w:t xml:space="preserve">long titles were read for every ambiguous candidate)</w:t>
            </w:r>
          </w:p>
        </w:tc>
      </w:tr>
      <w:tr>
        <w:tc>
          <w:tcPr/>
          <w:p>
            <w:pPr>
              <w:pStyle w:val="Compact"/>
              <w:jc w:val="left"/>
            </w:pPr>
            <w:r>
              <w:t xml:space="preserve">Floor vote counts (e.g. 37–1, 114–0, 43–1, 67–28, 106–3, 112–0)</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nine universe-added bills); passage/reading/adoption-type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recommitted after floor debate stalled,</w:t>
            </w:r>
            <w:r>
              <w:t xml:space="preserve">”</w:t>
            </w:r>
            <w:r>
              <w:t xml:space="preserve"> </w:t>
            </w:r>
            <w:r>
              <w:t xml:space="preserve">“</w:t>
            </w:r>
            <w:r>
              <w:t xml:space="preserve">stranded on the calendar,</w:t>
            </w:r>
            <w:r>
              <w:t xml:space="preserve">”</w:t>
            </w:r>
            <w:r>
              <w:t xml:space="preserve"> </w:t>
            </w:r>
            <w:r>
              <w:t xml:space="preserve">“</w:t>
            </w:r>
            <w:r>
              <w:t xml:space="preserve">died without completing passage</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twelve unusual paths (H5071, S227, S288, H4369, S780, S1069, S1070, H3775, H3845, H4817, H3737, H3075)</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(Road Buyback, the $417.4M/$200M/$225M packages, the school impact-fee prohibition, the fix-it-first rule, the dashboard)</w:t>
            </w:r>
          </w:p>
        </w:tc>
        <w:tc>
          <w:tcPr/>
          <w:p>
            <w:pPr>
              <w:pStyle w:val="Compact"/>
              <w:jc w:val="left"/>
            </w:pPr>
            <w:r>
              <w:t xml:space="preserve">Part IB full texts per enacted cycle (</w:t>
            </w:r>
            <w:r>
              <w:rPr>
                <w:rStyle w:val="VerbatimChar"/>
              </w:rPr>
              <w:t xml:space="preserve">sources/south-carolina/_universe/part1b/{year}/</w:t>
            </w:r>
            <w:r>
              <w:t xml:space="preserve">, matched subsets in</w:t>
            </w:r>
            <w:r>
              <w:t xml:space="preserve"> </w:t>
            </w:r>
            <w:r>
              <w:rPr>
                <w:rStyle w:val="VerbatimChar"/>
              </w:rPr>
              <w:t xml:space="preserve">working/.../provisos/{year}/</w:t>
            </w:r>
            <w:r>
              <w:t xml:space="preserve">), hand-curated in</w:t>
            </w:r>
            <w:r>
              <w:t xml:space="preserve"> </w:t>
            </w:r>
            <w:r>
              <w:rPr>
                <w:rStyle w:val="VerbatimChar"/>
              </w:rPr>
              <w:t xml:space="preserve">proviso-curated.json</w:t>
            </w:r>
            <w:r>
              <w:t xml:space="preserve"> </w:t>
            </w:r>
            <w:r>
              <w:t xml:space="preserve">with caption checks at build time; dollar figures verbatim</w:t>
            </w:r>
          </w:p>
        </w:tc>
      </w:tr>
      <w:tr>
        <w:tc>
          <w:tcPr/>
          <w:p>
            <w:pPr>
              <w:pStyle w:val="Compact"/>
              <w:jc w:val="left"/>
            </w:pPr>
            <w:r>
              <w:t xml:space="preserve">Background law (Act 40 of 2017 gas-tax phase-in; the 1999 Development Impact Fee Act; penny-tax chapters)</w:t>
            </w:r>
          </w:p>
        </w:tc>
        <w:tc>
          <w:tcPr/>
          <w:p>
            <w:pPr>
              <w:pStyle w:val="Compact"/>
              <w:jc w:val="left"/>
            </w:pPr>
            <w:r>
              <w:t xml:space="preserve">The statutes recited in the filed bills’ own texts (Sections 12-28-310, 6-1-910 et seq., Title 4 Chapters 10 and 37) — described as background, not counted as record bills</w:t>
            </w:r>
          </w:p>
        </w:tc>
      </w:tr>
      <w:tr>
        <w:tc>
          <w:tcPr/>
          <w:p>
            <w:pPr>
              <w:pStyle w:val="Compact"/>
              <w:jc w:val="left"/>
            </w:pPr>
            <w:r>
              <w:t xml:space="preserve">Citizen proposals and consensus notes ([P-…])</w:t>
            </w:r>
          </w:p>
        </w:tc>
        <w:tc>
          <w:tcPr/>
          <w:p>
            <w:pPr>
              <w:pStyle w:val="Compact"/>
              <w:jc w:val="left"/>
            </w:pPr>
            <w:r>
              <w:t xml:space="preserve">The FINAL Phase 2 proposal grid</w:t>
            </w:r>
            <w:r>
              <w:t xml:space="preserve"> </w:t>
            </w:r>
            <w:r>
              <w:t xml:space="preserve">“</w:t>
            </w:r>
            <w:r>
              <w:t xml:space="preserve">SC1 - Growth Infrastructure Roads</w:t>
            </w:r>
            <w:r>
              <w:t xml:space="preserve">”</w:t>
            </w:r>
            <w:r>
              <w:t xml:space="preserve"> </w:t>
            </w:r>
            <w:r>
              <w:t xml:space="preserve">(received 2026-09-04; five proposals), which supersedes the draft</w:t>
            </w:r>
            <w:r>
              <w:t xml:space="preserve"> </w:t>
            </w:r>
            <w:r>
              <w:t xml:space="preserve">“</w:t>
            </w:r>
            <w:r>
              <w:t xml:space="preserve">Grid View for Legislators v2</w:t>
            </w:r>
            <w:r>
              <w:t xml:space="preserve">”</w:t>
            </w:r>
            <w:r>
              <w:t xml:space="preserve"> </w:t>
            </w:r>
            <w:r>
              <w:t xml:space="preserve">the config originally carried — process input, not verified fact. All five frequency/tradeoff/consensus descriptions verify against the final grid verbatim in substance. The earlier flag about the draft’s blank developer-pays table is resolved: that proposal is not in the final grid (impact fees are named inside the funding-tools proposal; see Appendix H provenance note)</w:t>
            </w:r>
          </w:p>
        </w:tc>
      </w:tr>
    </w:tbl>
    <w:bookmarkEnd w:id="78"/>
    <w:bookmarkStart w:id="79" w:name="collection-and-verification-notes"/>
    <w:p>
      <w:pPr>
        <w:pStyle w:val="Heading2"/>
      </w:pPr>
      <w:r>
        <w:t xml:space="preserve">Collection and verification notes</w:t>
      </w:r>
    </w:p>
    <w:p>
      <w:pPr>
        <w:numPr>
          <w:ilvl w:val="0"/>
          <w:numId w:val="1018"/>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18"/>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20 / WARN 2 / FAIL 0). Both warnings are benign and disclosed: the</w:t>
      </w:r>
      <w:r>
        <w:t xml:space="preserve"> </w:t>
      </w:r>
      <w:r>
        <w:t xml:space="preserve">exact-phrase server search returned zero hits for</w:t>
      </w:r>
      <w:r>
        <w:t xml:space="preserve"> </w:t>
      </w:r>
      <w:r>
        <w:t xml:space="preserve">“</w:t>
      </w:r>
      <w:r>
        <w:t xml:space="preserve">penny tax</w:t>
      </w:r>
      <w:r>
        <w:t xml:space="preserve">”</w:t>
      </w:r>
      <w:r>
        <w:t xml:space="preserve"> </w:t>
      </w:r>
      <w:r>
        <w:t xml:space="preserve">(covered by</w:t>
      </w:r>
      <w:r>
        <w:t xml:space="preserve"> </w:t>
      </w:r>
      <w:r>
        <w:t xml:space="preserve">the local scans and the hand title-scan for sales-tax phrasings), and</w:t>
      </w:r>
      <w:r>
        <w:t xml:space="preserve"> </w:t>
      </w:r>
      <w:r>
        <w:t xml:space="preserve">five official bill</w:t>
      </w:r>
      <w:r>
        <w:t xml:space="preserve"> </w:t>
      </w:r>
      <w:r>
        <w:rPr>
          <w:iCs/>
          <w:i/>
        </w:rPr>
        <w:t xml:space="preserve">titles</w:t>
      </w:r>
      <w:r>
        <w:t xml:space="preserve"> </w:t>
      </w:r>
      <w:r>
        <w:t xml:space="preserve">contain advice-style words (quoted titles,</w:t>
      </w:r>
      <w:r>
        <w:t xml:space="preserve"> </w:t>
      </w:r>
      <w:r>
        <w:t xml:space="preserve">not Forum language).</w:t>
      </w:r>
    </w:p>
    <w:p>
      <w:pPr>
        <w:numPr>
          <w:ilvl w:val="0"/>
          <w:numId w:val="1018"/>
        </w:numPr>
        <w:pStyle w:val="Compact"/>
      </w:pPr>
      <w:r>
        <w:t xml:space="preserve">Curation: keep-all Pass 1 (5,618 hits) hand-reviewed to 178 bills</w:t>
      </w:r>
      <w:r>
        <w:t xml:space="preserve"> </w:t>
      </w:r>
      <w:r>
        <w:t xml:space="preserve">(88 core / 73 adjacent / 17 context); exclusion rules and per-bill plain</w:t>
      </w:r>
      <w:r>
        <w:t xml:space="preserve"> </w:t>
      </w:r>
      <w:r>
        <w:t xml:space="preserve">topics in</w:t>
      </w:r>
      <w:r>
        <w:t xml:space="preserve"> </w:t>
      </w:r>
      <w:r>
        <w:rPr>
          <w:rStyle w:val="VerbatimChar"/>
        </w:rPr>
        <w:t xml:space="preserve">working/south-carolina/growth-infrastructure-roads/curation-map.json</w:t>
      </w:r>
      <w:r>
        <w:t xml:space="preserve">.</w:t>
      </w:r>
      <w:r>
        <w:t xml:space="preserve"> </w:t>
      </w:r>
      <w:r>
        <w:t xml:space="preserve">Nine bills were hand-added from the certified universe via a title scan</w:t>
      </w:r>
      <w:r>
        <w:t xml:space="preserve"> </w:t>
      </w:r>
      <w:r>
        <w:t xml:space="preserve">for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and</w:t>
      </w:r>
      <w:r>
        <w:t xml:space="preserve"> </w:t>
      </w:r>
      <w:r>
        <w:t xml:space="preserve">“</w:t>
      </w:r>
      <w:r>
        <w:t xml:space="preserve">hospitality tax</w:t>
      </w:r>
      <w:r>
        <w:t xml:space="preserve">”</w:t>
      </w:r>
      <w:r>
        <w:t xml:space="preserve"> </w:t>
      </w:r>
      <w:r>
        <w:t xml:space="preserve">phrasings the Pass 1</w:t>
      </w:r>
      <w:r>
        <w:t xml:space="preserve"> </w:t>
      </w:r>
      <w:r>
        <w:t xml:space="preserve">terms did not cover; they are marked</w:t>
      </w:r>
      <w:r>
        <w:t xml:space="preserve"> </w:t>
      </w:r>
      <w:r>
        <w:rPr>
          <w:rStyle w:val="VerbatimChar"/>
        </w:rPr>
        <w:t xml:space="preserve">source: universe</w:t>
      </w:r>
      <w:r>
        <w:t xml:space="preserve"> </w:t>
      </w:r>
      <w:r>
        <w:t xml:space="preserve">in the curation</w:t>
      </w:r>
      <w:r>
        <w:t xml:space="preserve"> </w:t>
      </w:r>
      <w:r>
        <w:t xml:space="preserve">map.</w:t>
      </w:r>
    </w:p>
    <w:p>
      <w:pPr>
        <w:numPr>
          <w:ilvl w:val="0"/>
          <w:numId w:val="1018"/>
        </w:numPr>
        <w:pStyle w:val="Compact"/>
      </w:pPr>
      <w:r>
        <w:t xml:space="preserve">Provisos: term-matched candidates (246–305 per cycle) hand-curated to 18</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 and the disappearance of the</w:t>
      </w:r>
      <w:r>
        <w:t xml:space="preserve"> </w:t>
      </w:r>
      <w:r>
        <w:t xml:space="preserve">Preventative Maintenance Credit proviso after FY 2024-25 was verified</w:t>
      </w:r>
      <w:r>
        <w:t xml:space="preserve"> </w:t>
      </w:r>
      <w:r>
        <w:t xml:space="preserve">against the full 1,354- and 1,394-proviso sets.</w:t>
      </w:r>
    </w:p>
    <w:p>
      <w:pPr>
        <w:numPr>
          <w:ilvl w:val="0"/>
          <w:numId w:val="1018"/>
        </w:numPr>
        <w:pStyle w:val="Compact"/>
      </w:pPr>
      <w:r>
        <w:t xml:space="preserve">Vote discipline: only passage/reading/ratification/adoption motions count</w:t>
      </w:r>
      <w:r>
        <w:t xml:space="preserve"> </w:t>
      </w:r>
      <w:r>
        <w:t xml:space="preserve">as support signals; tabling, amendment, and carry-over motions are</w:t>
      </w:r>
      <w:r>
        <w:t xml:space="preserve"> </w:t>
      </w:r>
      <w:r>
        <w:t xml:space="preserve">excluded.</w:t>
      </w:r>
    </w:p>
    <w:p>
      <w:pPr>
        <w:numPr>
          <w:ilvl w:val="0"/>
          <w:numId w:val="1018"/>
        </w:numPr>
        <w:pStyle w:val="Compact"/>
      </w:pPr>
      <w:r>
        <w:t xml:space="preserve">No party labels anywhere: the roster/ballot join was not fetched for</w:t>
      </w:r>
      <w:r>
        <w:t xml:space="preserve"> </w:t>
      </w:r>
      <w:r>
        <w:t xml:space="preserve">this brief (see Appendix F).</w:t>
      </w:r>
    </w:p>
    <w:p>
      <w:pPr>
        <w:numPr>
          <w:ilvl w:val="0"/>
          <w:numId w:val="1018"/>
        </w:numPr>
        <w:pStyle w:val="Compact"/>
      </w:pPr>
      <w:r>
        <w:t xml:space="preserve">External-source discipline: the packet contains no claims sourced outside</w:t>
      </w:r>
      <w:r>
        <w:t xml:space="preserve"> </w:t>
      </w:r>
      <w:r>
        <w:t xml:space="preserve">the repository’s local record (no news accounts, no SCDOT program data,</w:t>
      </w:r>
      <w:r>
        <w:t xml:space="preserve"> </w:t>
      </w:r>
      <w:r>
        <w:t xml:space="preserve">no federal filings).</w:t>
      </w:r>
    </w:p>
    <w:bookmarkEnd w:id="79"/>
    <w:bookmarkStart w:id="80" w:name="review-status"/>
    <w:p>
      <w:pPr>
        <w:pStyle w:val="Heading2"/>
      </w:pPr>
      <w:r>
        <w:t xml:space="preserve">Review status</w:t>
      </w:r>
    </w:p>
    <w:p>
      <w:pPr>
        <w:numPr>
          <w:ilvl w:val="0"/>
          <w:numId w:val="1019"/>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19"/>
        </w:numPr>
        <w:pStyle w:val="Compact"/>
      </w:pPr>
      <w:r>
        <w:t xml:space="preserve">Suggested human reviewers: Ryan Echols, Jodi Stephens, Ashley Lovell.</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2026-09-04T14:20:26Z</dcterms:created>
  <dcterms:modified xsi:type="dcterms:W3CDTF">2026-09-04T14:20:26Z</dcterms:modified>
</cp:coreProperties>
</file>

<file path=docProps/custom.xml><?xml version="1.0" encoding="utf-8"?>
<Properties xmlns="http://schemas.openxmlformats.org/officeDocument/2006/custom-properties" xmlns:vt="http://schemas.openxmlformats.org/officeDocument/2006/docPropsVTypes"/>
</file>