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Proposal Spotlights — Health Care Brief</w:t>
      </w:r>
    </w:p>
    <w:p>
      <w:pPr>
        <w:widowControl/>
        <w:spacing w:before="0" w:after="120" w:lineRule="auto" w:line="254"/>
      </w:pPr>
      <w:r>
        <w:rPr>
          <w:rFonts w:ascii="Arial" w:hAnsi="Arial" w:cs="Arial" w:eastAsia="Arial"/>
          <w:b w:val="0"/>
          <w:color w:val="444444"/>
          <w:sz w:val="20"/>
        </w:rPr>
        <w:t>A close look at the legislative record behind each proposal the working group short-listed, with committee paths, sponsor detail, and bills beyond what the citizen brief (v3.0) carries.</w:t>
      </w:r>
    </w:p>
    <w:p>
      <w:pPr>
        <w:widowControl/>
        <w:spacing w:before="84" w:after="36" w:lineRule="auto" w:line="254"/>
      </w:pPr>
      <w:r>
        <w:rPr>
          <w:rFonts w:ascii="Arial" w:hAnsi="Arial" w:cs="Arial" w:eastAsia="Arial"/>
          <w:b/>
          <w:color w:val="C0392B"/>
          <w:sz w:val="25"/>
          <w:spacing w:val="20"/>
        </w:rPr>
        <w:t>GROWING THE SUPPLY OF DOCTORS AND PROVIDERS</w:t>
      </w:r>
    </w:p>
    <w:p>
      <w:pPr>
        <w:widowControl/>
        <w:spacing w:before="0" w:after="60" w:lineRule="auto" w:line="276"/>
      </w:pPr>
      <w:r>
        <w:rPr>
          <w:rFonts w:ascii="Arial" w:hAnsi="Arial" w:cs="Arial" w:eastAsia="Arial"/>
          <w:b w:val="0"/>
          <w:i/>
          <w:color w:val="666666"/>
          <w:sz w:val="20"/>
        </w:rPr>
        <w:t>Working-group proposal: increase the supply of doctors and providers.</w:t>
      </w:r>
    </w:p>
    <w:p>
      <w:pPr>
        <w:keepLines/>
        <w:widowControl/>
        <w:spacing w:before="0" w:after="90" w:lineRule="auto" w:line="276"/>
      </w:pPr>
      <w:r>
        <w:rPr>
          <w:rFonts w:ascii="Arial" w:hAnsi="Arial" w:cs="Arial" w:eastAsia="Arial"/>
          <w:b/>
          <w:color w:val="1A2D4F"/>
          <w:sz w:val="20"/>
        </w:rPr>
        <w:t>No provider-supply bill has ever lost a floor vote; these bills succeed or fail in committees and budget reviews.</w:t>
      </w:r>
      <w:r>
        <w:rPr>
          <w:rFonts w:ascii="Arial" w:hAnsi="Arial" w:cs="Arial" w:eastAsia="Arial"/>
          <w:b w:val="0"/>
          <w:color w:val="444444"/>
          <w:sz w:val="20"/>
        </w:rPr>
        <w:t xml:space="preserve"> The recruitment grant program passed as SB434 (2025), 18–2 and 42–0, died on the final day over an amendment, and was enacted three months later in the special session (SB5, 15–6 and 37–0). Residency grants are law (SB350, 2023, 21–0 and 40–0; revised unanimously in 2025), and dental therapy became a licensed profession in 2019. The failures had support from both parties and died without votes: physician-recruitment packages AB372 (2021) and AB393 (2023, sponsored by Republican Heidi Kasama with Democrat Roberta Lange) died in their first committees, and the 2025 workforce-needs assessment (SB495) passed the Senate 13–8 and died in the Assembly.</w:t>
      </w:r>
    </w:p>
    <w:p>
      <w:pPr>
        <w:widowControl/>
        <w:spacing w:before="84" w:after="36" w:lineRule="auto" w:line="254"/>
      </w:pPr>
      <w:r>
        <w:rPr>
          <w:rFonts w:ascii="Arial" w:hAnsi="Arial" w:cs="Arial" w:eastAsia="Arial"/>
          <w:b/>
          <w:color w:val="C0392B"/>
          <w:sz w:val="25"/>
          <w:spacing w:val="20"/>
        </w:rPr>
        <w:t>LICENSURE COMPACTS AND RECIPROCITY</w:t>
      </w:r>
    </w:p>
    <w:p>
      <w:pPr>
        <w:widowControl/>
        <w:spacing w:before="0" w:after="60" w:lineRule="auto" w:line="276"/>
      </w:pPr>
      <w:r>
        <w:rPr>
          <w:rFonts w:ascii="Arial" w:hAnsi="Arial" w:cs="Arial" w:eastAsia="Arial"/>
          <w:b w:val="0"/>
          <w:i/>
          <w:color w:val="666666"/>
          <w:sz w:val="20"/>
        </w:rPr>
        <w:t>Working-group proposal: interstate licensure compacts and licensure reciprocity.</w:t>
      </w:r>
    </w:p>
    <w:p>
      <w:pPr>
        <w:keepLines/>
        <w:widowControl/>
        <w:spacing w:before="0" w:after="90" w:lineRule="auto" w:line="276"/>
      </w:pPr>
      <w:r>
        <w:rPr>
          <w:rFonts w:ascii="Arial" w:hAnsi="Arial" w:cs="Arial" w:eastAsia="Arial"/>
          <w:b/>
          <w:color w:val="1A2D4F"/>
          <w:sz w:val="20"/>
        </w:rPr>
        <w:t>Four of the five compacts are law, each passing unanimously or nearly so; the nursing compact's three failures all happened in the same kind of committee.</w:t>
      </w:r>
      <w:r>
        <w:rPr>
          <w:rFonts w:ascii="Arial" w:hAnsi="Arial" w:cs="Arial" w:eastAsia="Arial"/>
          <w:b w:val="0"/>
          <w:color w:val="444444"/>
          <w:sz w:val="20"/>
        </w:rPr>
        <w:t xml:space="preserve"> Enacted: physical therapy (SB186, 2019, re-enacted as AB248, 2025), EMS personnel (AB158, 2023), audiology/speech-language (AB230, 2025), dental-hygienist endorsement (AB334, 2025, 42–0 and 21–0), plus SB124 (2025) easing foreign-trained doctors into licensure, 41–0 and 21–0. The Nurse Licensure Compact has never had a floor vote: AB142 (2021) and AB108 (2023) died in Assembly Commerce and Labor, and the 2025 omnibus SB34 died in Senate Commerce and Labor while two of its compacts passed separately.</w:t>
      </w:r>
    </w:p>
    <w:p>
      <w:pPr>
        <w:widowControl/>
        <w:spacing w:before="84" w:after="36" w:lineRule="auto" w:line="254"/>
      </w:pPr>
      <w:r>
        <w:rPr>
          <w:rFonts w:ascii="Arial" w:hAnsi="Arial" w:cs="Arial" w:eastAsia="Arial"/>
          <w:b/>
          <w:color w:val="C0392B"/>
          <w:sz w:val="25"/>
          <w:spacing w:val="20"/>
        </w:rPr>
        <w:t>LOAN FORGIVENESS AND MEDICAL-DEBT RELIEF</w:t>
      </w:r>
    </w:p>
    <w:p>
      <w:pPr>
        <w:widowControl/>
        <w:spacing w:before="0" w:after="60" w:lineRule="auto" w:line="276"/>
      </w:pPr>
      <w:r>
        <w:rPr>
          <w:rFonts w:ascii="Arial" w:hAnsi="Arial" w:cs="Arial" w:eastAsia="Arial"/>
          <w:b w:val="0"/>
          <w:i/>
          <w:color w:val="666666"/>
          <w:sz w:val="20"/>
        </w:rPr>
        <w:t>Working-group proposal: loan forgiveness and medical-debt relief to incentivize providers.</w:t>
      </w:r>
    </w:p>
    <w:p>
      <w:pPr>
        <w:keepLines/>
        <w:widowControl/>
        <w:spacing w:before="0" w:after="90" w:lineRule="auto" w:line="276"/>
      </w:pPr>
      <w:r>
        <w:rPr>
          <w:rFonts w:ascii="Arial" w:hAnsi="Arial" w:cs="Arial" w:eastAsia="Arial"/>
          <w:b/>
          <w:color w:val="1A2D4F"/>
          <w:sz w:val="20"/>
        </w:rPr>
        <w:t>Provider loan repayment keeps passing; patient debt-relief bills pass the Legislature and stop at the governor's veto.</w:t>
      </w:r>
      <w:r>
        <w:rPr>
          <w:rFonts w:ascii="Arial" w:hAnsi="Arial" w:cs="Arial" w:eastAsia="Arial"/>
          <w:b w:val="0"/>
          <w:color w:val="444444"/>
          <w:sz w:val="20"/>
        </w:rPr>
        <w:t xml:space="preserve"> Health Service Corps funding passed in 2019 and 2021; AB45 (2023) created the underserved-communities program 41–0 and 21–0; 2025 widened eligibility twice (AB269, SB266). On the debt side, SB248 (2021) — rules for medical-debt collection agencies — is law, but the recent bills were vetoed: AB204 (2025, barring arrests and property liens), AB282 (2025, requiring overcharge corrections), AB437 (2023, paperwork-fee limits). What survived: AB305 (2025) capped leave-form charges and AB343 (2025) made hospitals publish standard charges and price-estimator tools.</w:t>
      </w:r>
    </w:p>
    <w:p>
      <w:pPr>
        <w:widowControl/>
        <w:spacing w:before="84" w:after="36" w:lineRule="auto" w:line="254"/>
      </w:pPr>
      <w:r>
        <w:rPr>
          <w:rFonts w:ascii="Arial" w:hAnsi="Arial" w:cs="Arial" w:eastAsia="Arial"/>
          <w:b/>
          <w:color w:val="C0392B"/>
          <w:sz w:val="25"/>
          <w:spacing w:val="20"/>
        </w:rPr>
        <w:t>EMPLOYER AND SMALL-BUSINESS INSURANCE POOLING</w:t>
      </w:r>
    </w:p>
    <w:p>
      <w:pPr>
        <w:widowControl/>
        <w:spacing w:before="0" w:after="60" w:lineRule="auto" w:line="276"/>
      </w:pPr>
      <w:r>
        <w:rPr>
          <w:rFonts w:ascii="Arial" w:hAnsi="Arial" w:cs="Arial" w:eastAsia="Arial"/>
          <w:b w:val="0"/>
          <w:i/>
          <w:color w:val="666666"/>
          <w:sz w:val="20"/>
        </w:rPr>
        <w:t>Working-group proposal: employer and small-business insurance pooling.</w:t>
      </w:r>
    </w:p>
    <w:p>
      <w:pPr>
        <w:keepLines/>
        <w:widowControl/>
        <w:spacing w:before="0" w:after="90" w:lineRule="auto" w:line="276"/>
      </w:pPr>
      <w:r>
        <w:rPr>
          <w:rFonts w:ascii="Arial" w:hAnsi="Arial" w:cs="Arial" w:eastAsia="Arial"/>
          <w:b/>
          <w:color w:val="1A2D4F"/>
          <w:sz w:val="20"/>
        </w:rPr>
        <w:t>Nevada has passed laws around the edges of insurance pooling — never the design the working group described — and federal law limits how far a state can go.</w:t>
      </w:r>
      <w:r>
        <w:rPr>
          <w:rFonts w:ascii="Arial" w:hAnsi="Arial" w:cs="Arial" w:eastAsia="Arial"/>
          <w:b w:val="0"/>
          <w:color w:val="444444"/>
          <w:sz w:val="20"/>
        </w:rPr>
        <w:t xml:space="preserve"> SB481 (2019) regulated association health plans and self-funded multiple-employer arrangements, unanimously; SB482 (2019) addressed interstate insurer-choice compacts; SB396 (2021) let public agencies pool with private entities for drug purchasing. The open-to-all study (SCR10, 2019) died in committee — then SB420 (2021) built the Public Option anyway, 12–9 and 26–15. Most employer coverage is self-funded and governed by federal ERISA law, out of state reach — which is why the tested bills regulate the pooled insurance products companies can buy rather than pooling employers directly; the any-group design has never been filed.</w:t>
      </w:r>
    </w:p>
    <w:p>
      <w:pPr>
        <w:widowControl/>
        <w:spacing w:before="40" w:after="0" w:lineRule="auto" w:line="254"/>
        <w:pBdr>
          <w:top w:val="single" w:sz="6" w:space="4" w:color="C8CDD6"/>
        </w:pBdr>
      </w:pPr>
      <w:r>
        <w:rPr>
          <w:rFonts w:ascii="Arial" w:hAnsi="Arial" w:cs="Arial" w:eastAsia="Arial"/>
          <w:b w:val="0"/>
          <w:color w:val="666666"/>
          <w:sz w:val="20"/>
          <w:spacing w:val="4"/>
        </w:rPr>
        <w:t>Companion to the citizen brief v3.0; proposals from the working-group rubric</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