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0" w:after="20" w:lineRule="auto" w:line="254"/>
      </w:pPr>
      <w:r>
        <w:rPr>
          <w:rFonts w:ascii="Arial" w:hAnsi="Arial" w:cs="Arial" w:eastAsia="Arial"/>
          <w:b/>
          <w:color w:val="1A2D4F"/>
          <w:sz w:val="20"/>
          <w:spacing w:val="20"/>
        </w:rPr>
        <w:t>T H E   F O R U M</w:t>
      </w:r>
    </w:p>
    <w:p>
      <w:pPr>
        <w:widowControl/>
        <w:spacing w:before="0" w:after="120" w:lineRule="auto" w:line="254"/>
        <w:pBdr>
          <w:bottom w:val="single" w:sz="20" w:space="2" w:color="1A2D4F"/>
        </w:pBdr>
      </w:pPr>
    </w:p>
    <w:p>
      <w:pPr>
        <w:widowControl/>
        <w:spacing w:before="0" w:after="40" w:lineRule="auto" w:line="252"/>
      </w:pPr>
      <w:r>
        <w:rPr>
          <w:rFonts w:ascii="Arial" w:hAnsi="Arial" w:cs="Arial" w:eastAsia="Arial"/>
          <w:b/>
          <w:color w:val="1A2D4F"/>
          <w:sz w:val="36"/>
        </w:rPr>
        <w:t>Proposal Spotlights — K-12 Brief</w:t>
      </w:r>
    </w:p>
    <w:p>
      <w:pPr>
        <w:widowControl/>
        <w:spacing w:before="0" w:after="120" w:lineRule="auto" w:line="254"/>
      </w:pPr>
      <w:r>
        <w:rPr>
          <w:rFonts w:ascii="Arial" w:hAnsi="Arial" w:cs="Arial" w:eastAsia="Arial"/>
          <w:b w:val="0"/>
          <w:color w:val="444444"/>
          <w:sz w:val="20"/>
        </w:rPr>
        <w:t>A close look at the record behind each proposal the working group short-listed, with committee paths, sponsor detail, and bills beyond what the citizen brief (v3.0) carries.</w:t>
      </w:r>
    </w:p>
    <w:p>
      <w:pPr>
        <w:widowControl/>
        <w:spacing w:before="84" w:after="36" w:lineRule="auto" w:line="254"/>
      </w:pPr>
      <w:r>
        <w:rPr>
          <w:rFonts w:ascii="Arial" w:hAnsi="Arial" w:cs="Arial" w:eastAsia="Arial"/>
          <w:b/>
          <w:color w:val="C0392B"/>
          <w:sz w:val="25"/>
          <w:spacing w:val="20"/>
        </w:rPr>
        <w:t>PER-PUPIL FUNDING</w:t>
      </w:r>
    </w:p>
    <w:p>
      <w:pPr>
        <w:widowControl/>
        <w:spacing w:before="0" w:after="60" w:lineRule="auto" w:line="276"/>
      </w:pPr>
      <w:r>
        <w:rPr>
          <w:rFonts w:ascii="Arial" w:hAnsi="Arial" w:cs="Arial" w:eastAsia="Arial"/>
          <w:b w:val="0"/>
          <w:i/>
          <w:color w:val="666666"/>
          <w:sz w:val="20"/>
        </w:rPr>
        <w:t>Working-group proposals: two designs for raising per-pupil funding.</w:t>
      </w:r>
    </w:p>
    <w:p>
      <w:pPr>
        <w:keepLines/>
        <w:widowControl/>
        <w:spacing w:before="0" w:after="90" w:lineRule="auto" w:line="276"/>
      </w:pPr>
      <w:r>
        <w:rPr>
          <w:rFonts w:ascii="Arial" w:hAnsi="Arial" w:cs="Arial" w:eastAsia="Arial"/>
          <w:b/>
          <w:color w:val="1A2D4F"/>
          <w:sz w:val="20"/>
        </w:rPr>
        <w:t>The funding system exists; the funding guarantee keeps dying without a vote.</w:t>
      </w:r>
      <w:r>
        <w:rPr>
          <w:rFonts w:ascii="Arial" w:hAnsi="Arial" w:cs="Arial" w:eastAsia="Arial"/>
          <w:b w:val="0"/>
          <w:color w:val="444444"/>
          <w:sz w:val="20"/>
        </w:rPr>
        <w:t xml:space="preserve"> The Pupil-Centered Funding Plan (SB543, 2019, 18–3 and 34–7) rebuilt how dollars follow pupils; SB439 (2021) rebuilt its revenue streams; and the two-year budget acts fund it (SB503 in 2023; SB500 in 2025, 42–0 and 13–8). The one new revenue source in the record — AB495 (2021), the gold-and-silver mining tax routed to education — passed 28–14 and 16–5. What has never even reached a floor vote is a guaranteed minimum funding level: AB459 (2023), requiring the education budget to at least keep pace with inflation plus enrollment, died in Assembly Ways and Means; its 2025 successor died in Senate Finance — both without any vote. The statutory Commission on School Funding already calculates what full funding would take, so a funding-guarantee bill would arrive with its price tag already calculated; the budget committees, where both attempts stopped, decide its fate.</w:t>
      </w:r>
    </w:p>
    <w:p>
      <w:pPr>
        <w:widowControl/>
        <w:spacing w:before="84" w:after="36" w:lineRule="auto" w:line="254"/>
      </w:pPr>
      <w:r>
        <w:rPr>
          <w:rFonts w:ascii="Arial" w:hAnsi="Arial" w:cs="Arial" w:eastAsia="Arial"/>
          <w:b/>
          <w:color w:val="C0392B"/>
          <w:sz w:val="25"/>
          <w:spacing w:val="20"/>
        </w:rPr>
        <w:t>CHRONIC ABSENTEEISM AND STUDENT SUPPORTS</w:t>
      </w:r>
    </w:p>
    <w:p>
      <w:pPr>
        <w:widowControl/>
        <w:spacing w:before="0" w:after="60" w:lineRule="auto" w:line="276"/>
      </w:pPr>
      <w:r>
        <w:rPr>
          <w:rFonts w:ascii="Arial" w:hAnsi="Arial" w:cs="Arial" w:eastAsia="Arial"/>
          <w:b w:val="0"/>
          <w:i/>
          <w:color w:val="666666"/>
          <w:sz w:val="20"/>
        </w:rPr>
        <w:t>Working-group proposal: address chronic absenteeism and provide integrated student supports — mental health and socioeconomic.</w:t>
      </w:r>
    </w:p>
    <w:p>
      <w:pPr>
        <w:keepLines/>
        <w:widowControl/>
        <w:spacing w:before="0" w:after="90" w:lineRule="auto" w:line="276"/>
      </w:pPr>
      <w:r>
        <w:rPr>
          <w:rFonts w:ascii="Arial" w:hAnsi="Arial" w:cs="Arial" w:eastAsia="Arial"/>
          <w:b/>
          <w:color w:val="1A2D4F"/>
          <w:sz w:val="20"/>
        </w:rPr>
        <w:t>Absenteeism bills exist, and the pattern is specific: measurement passes one chamber, then stalls.</w:t>
      </w:r>
      <w:r>
        <w:rPr>
          <w:rFonts w:ascii="Arial" w:hAnsi="Arial" w:cs="Arial" w:eastAsia="Arial"/>
          <w:b w:val="0"/>
          <w:color w:val="444444"/>
          <w:sz w:val="20"/>
        </w:rPr>
        <w:t xml:space="preserve"> Assemblymember Brittney Miller (D, still serving) twice passed the Assembly with bills requiring reporting on the achievement of chronically absent pupils — AB339 (2023) and AB391 (2025) — and both died in the Senate. The statewide-policy version died earliest: SB79 (2019), requiring a statewide chronic-absenteeism policy and training, never left Senate Education; AB531 (2025), a real-time attendance dashboard plus a metrics task force, died in Assembly Education. What passed is narrower: SB249 (2021, Senator Marilyn Dondero Loop, D, still serving) excused behavioral-health absences and put crisis lines on pupil IDs, and AB264 (2023) protected credit for religious-holiday absences.</w:t>
      </w:r>
    </w:p>
    <w:p>
      <w:pPr>
        <w:keepLines/>
        <w:widowControl/>
        <w:spacing w:before="0" w:after="90" w:lineRule="auto" w:line="276"/>
      </w:pPr>
      <w:r>
        <w:rPr>
          <w:rFonts w:ascii="Arial" w:hAnsi="Arial" w:cs="Arial" w:eastAsia="Arial"/>
          <w:b/>
          <w:color w:val="1A2D4F"/>
          <w:sz w:val="20"/>
        </w:rPr>
        <w:t>The supports side is already half-built.</w:t>
      </w:r>
      <w:r>
        <w:rPr>
          <w:rFonts w:ascii="Arial" w:hAnsi="Arial" w:cs="Arial" w:eastAsia="Arial"/>
          <w:b w:val="0"/>
          <w:color w:val="444444"/>
          <w:sz w:val="20"/>
        </w:rPr>
        <w:t xml:space="preserve"> The staffing framework — counselors, psychologists, social workers "to the extent money is available" — is law (SB319 of 2019; SB151 of 2021; SB277 of 2025), and restorative-discipline requirements passed in 2019 (AB168); the versions without funding conditions die in committee. An integrated-supports proposal would face that same split: plans tied to available funding pass; unfunded requirements stop.</w:t>
      </w:r>
    </w:p>
    <w:p>
      <w:pPr>
        <w:widowControl/>
        <w:spacing w:before="84" w:after="36" w:lineRule="auto" w:line="254"/>
      </w:pPr>
      <w:r>
        <w:rPr>
          <w:rFonts w:ascii="Arial" w:hAnsi="Arial" w:cs="Arial" w:eastAsia="Arial"/>
          <w:b/>
          <w:color w:val="C0392B"/>
          <w:sz w:val="25"/>
          <w:spacing w:val="20"/>
        </w:rPr>
        <w:t>CAREER PATHWAYS AND HANDS-ON LEARNING</w:t>
      </w:r>
    </w:p>
    <w:p>
      <w:pPr>
        <w:widowControl/>
        <w:spacing w:before="0" w:after="60" w:lineRule="auto" w:line="276"/>
      </w:pPr>
      <w:r>
        <w:rPr>
          <w:rFonts w:ascii="Arial" w:hAnsi="Arial" w:cs="Arial" w:eastAsia="Arial"/>
          <w:b w:val="0"/>
          <w:i/>
          <w:color w:val="666666"/>
          <w:sz w:val="20"/>
        </w:rPr>
        <w:t>Working-group proposal: expand career and workforce pathways from K-12 to trade school or college, life skills, and hands-on learning.</w:t>
      </w:r>
    </w:p>
    <w:p>
      <w:pPr>
        <w:keepLines/>
        <w:widowControl/>
        <w:spacing w:before="0" w:after="90" w:lineRule="auto" w:line="276"/>
      </w:pPr>
      <w:r>
        <w:rPr>
          <w:rFonts w:ascii="Arial" w:hAnsi="Arial" w:cs="Arial" w:eastAsia="Arial"/>
          <w:b/>
          <w:color w:val="1A2D4F"/>
          <w:sz w:val="20"/>
        </w:rPr>
        <w:t>The large-scale programs died early — repeatedly.</w:t>
      </w:r>
      <w:r>
        <w:rPr>
          <w:rFonts w:ascii="Arial" w:hAnsi="Arial" w:cs="Arial" w:eastAsia="Arial"/>
          <w:b w:val="0"/>
          <w:color w:val="444444"/>
          <w:sz w:val="20"/>
        </w:rPr>
        <w:t xml:space="preserve"> The 2019 work-based-learning package (AB318, AB359, AB392 — district policies, employer networks, insured work placements), all sponsored by Republicans, died in their first committees, as did the union-and-trade-group CTE teaching bills (AB199 of 2019, AB208 of 2021) and Senator Scott Hammond's three 2021 bills steering career-technical education toward high-need industries (SB220, SB226, SB265). Hammond has left the Legislature, and no one has refiled the large employer-network proposals.</w:t>
      </w:r>
    </w:p>
    <w:p>
      <w:pPr>
        <w:keepLines/>
        <w:widowControl/>
        <w:spacing w:before="0" w:after="90" w:lineRule="auto" w:line="276"/>
      </w:pPr>
      <w:r>
        <w:rPr>
          <w:rFonts w:ascii="Arial" w:hAnsi="Arial" w:cs="Arial" w:eastAsia="Arial"/>
          <w:b/>
          <w:color w:val="1A2D4F"/>
          <w:sz w:val="20"/>
        </w:rPr>
        <w:t>What passes is one small step at a time — and lately, steadily.</w:t>
      </w:r>
      <w:r>
        <w:rPr>
          <w:rFonts w:ascii="Arial" w:hAnsi="Arial" w:cs="Arial" w:eastAsia="Arial"/>
          <w:b w:val="0"/>
          <w:color w:val="444444"/>
          <w:sz w:val="20"/>
        </w:rPr>
        <w:t xml:space="preserve"> AB38 (2021) streamlined CTE advisory committees and work-based learning rules; AB207 (2023) let schools insure pupils in work-based learning; AB256 (2023) streamlined program approvals; AB241 (2023) made the college-and-career-ready course load the default high-school enrollment; AB539 (2025) authorized career coaches in the middle grades; and SB45 (2025) refocused CTE grants on advanced courses. The financial-literacy credit, the clearest life-skills success in the record, passed 40–0 and 20–0 (AB274, 2023). Two patterns are visible: employer-network programs have never cleared a committee, while school-based pathway bills have passed in every session since 2021.</w:t>
      </w:r>
    </w:p>
    <w:p>
      <w:pPr>
        <w:widowControl/>
        <w:spacing w:before="40" w:after="0" w:lineRule="auto" w:line="254"/>
        <w:pBdr>
          <w:top w:val="single" w:sz="6" w:space="4" w:color="C8CDD6"/>
        </w:pBdr>
      </w:pPr>
      <w:r>
        <w:rPr>
          <w:rFonts w:ascii="Arial" w:hAnsi="Arial" w:cs="Arial" w:eastAsia="Arial"/>
          <w:b w:val="0"/>
          <w:color w:val="666666"/>
          <w:sz w:val="20"/>
          <w:spacing w:val="4"/>
        </w:rPr>
        <w:t>Companion to the citizen brief v3.0; proposals from the working-group rubric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