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 w:lineRule="auto" w:line="254"/>
      </w:pPr>
      <w:r>
        <w:rPr>
          <w:rFonts w:ascii="Arial" w:hAnsi="Arial" w:cs="Arial" w:eastAsia="Arial"/>
          <w:b/>
          <w:color w:val="1A2D4F"/>
          <w:sz w:val="20"/>
          <w:spacing w:val="20"/>
        </w:rPr>
        <w:t>T H E   F O R U M</w:t>
      </w:r>
    </w:p>
    <w:p>
      <w:pPr>
        <w:widowControl/>
        <w:spacing w:before="0" w:after="120" w:lineRule="auto" w:line="254"/>
        <w:pBdr>
          <w:bottom w:val="single" w:sz="20" w:space="2" w:color="1A2D4F"/>
        </w:pBdr>
      </w:pPr>
    </w:p>
    <w:p>
      <w:pPr>
        <w:widowControl/>
        <w:spacing w:before="0" w:after="40" w:lineRule="auto" w:line="252"/>
      </w:pPr>
      <w:r>
        <w:rPr>
          <w:rFonts w:ascii="Arial" w:hAnsi="Arial" w:cs="Arial" w:eastAsia="Arial"/>
          <w:b/>
          <w:color w:val="1A2D4F"/>
          <w:sz w:val="36"/>
        </w:rPr>
        <w:t>Proposal Spotlights — Water Scarcity Brief</w:t>
      </w:r>
    </w:p>
    <w:p>
      <w:pPr>
        <w:widowControl/>
        <w:spacing w:before="0" w:after="120" w:lineRule="auto" w:line="254"/>
      </w:pPr>
      <w:r>
        <w:rPr>
          <w:rFonts w:ascii="Arial" w:hAnsi="Arial" w:cs="Arial" w:eastAsia="Arial"/>
          <w:b w:val="0"/>
          <w:color w:val="444444"/>
          <w:sz w:val="20"/>
        </w:rPr>
        <w:t>A close look at the legislative record behind each proposal the working group short-listed, with committee paths, sponsor detail, and bills beyond what the citizen brief (v3.0) carries.</w:t>
      </w:r>
    </w:p>
    <w:p>
      <w:pPr>
        <w:widowControl/>
        <w:spacing w:before="84" w:after="36" w:lineRule="auto" w:line="254"/>
      </w:pPr>
      <w:r>
        <w:rPr>
          <w:rFonts w:ascii="Arial" w:hAnsi="Arial" w:cs="Arial" w:eastAsia="Arial"/>
          <w:b/>
          <w:color w:val="C0392B"/>
          <w:sz w:val="25"/>
          <w:spacing w:val="20"/>
        </w:rPr>
        <w:t>TRANSPARENCY, DATA, AND A STATEWIDE WATER PLAN</w:t>
      </w:r>
    </w:p>
    <w:p>
      <w:pPr>
        <w:widowControl/>
        <w:spacing w:before="0" w:after="60" w:lineRule="auto" w:line="276"/>
      </w:pPr>
      <w:r>
        <w:rPr>
          <w:rFonts w:ascii="Arial" w:hAnsi="Arial" w:cs="Arial" w:eastAsia="Arial"/>
          <w:b w:val="0"/>
          <w:i/>
          <w:color w:val="666666"/>
          <w:sz w:val="20"/>
        </w:rPr>
        <w:t>Working-group proposal: transparency, data collection, and a statewide plan or expert body.</w:t>
      </w:r>
    </w:p>
    <w:p>
      <w:pPr>
        <w:keepLines/>
        <w:widowControl/>
        <w:spacing w:before="0" w:after="90" w:lineRule="auto" w:line="276"/>
      </w:pPr>
      <w:r>
        <w:rPr>
          <w:rFonts w:ascii="Arial" w:hAnsi="Arial" w:cs="Arial" w:eastAsia="Arial"/>
          <w:b/>
          <w:color w:val="1A2D4F"/>
          <w:sz w:val="20"/>
        </w:rPr>
        <w:t>The all-in-one bill died; the pieces passed one by one.</w:t>
      </w:r>
      <w:r>
        <w:rPr>
          <w:rFonts w:ascii="Arial" w:hAnsi="Arial" w:cs="Arial" w:eastAsia="Arial"/>
          <w:b w:val="0"/>
          <w:color w:val="444444"/>
          <w:sz w:val="20"/>
        </w:rPr>
        <w:t xml:space="preserve"> AB485 (2025) bundled everything the proposal describes — basin water budgets, monitoring, digitized records, staff to settle pre-permit-era claims — and died in Assembly Natural Resources without a vote. Yet nearly every piece has passed separately: groundwater basin studies (AB95, 2019), critical management area designations (SB113, 2023), money for the Division of Water Resources' new website and database (AB577, 2025), supplier water-loss audits (AB191, 2023), and the buy-and-retire account (SB36, 2025) after failing in 2021 and 2023.</w:t>
      </w:r>
    </w:p>
    <w:p>
      <w:pPr>
        <w:keepLines/>
        <w:widowControl/>
        <w:spacing w:before="0" w:after="90" w:lineRule="auto" w:line="276"/>
      </w:pPr>
      <w:r>
        <w:rPr>
          <w:rFonts w:ascii="Arial" w:hAnsi="Arial" w:cs="Arial" w:eastAsia="Arial"/>
          <w:b/>
          <w:color w:val="1A2D4F"/>
          <w:sz w:val="20"/>
        </w:rPr>
        <w:t>The expert body is the unfinished half.</w:t>
      </w:r>
      <w:r>
        <w:rPr>
          <w:rFonts w:ascii="Arial" w:hAnsi="Arial" w:cs="Arial" w:eastAsia="Arial"/>
          <w:b w:val="0"/>
          <w:color w:val="444444"/>
          <w:sz w:val="20"/>
        </w:rPr>
        <w:t xml:space="preserve"> SB499 (2019), a state water planning advisory board, never left Senate Finance. SB143 (2025), an interim review of water conservation policy, passed the Senate 21–0 — the idea's strongest showing — and died in the Assembly. An earlier study bill — AB265 (2019), a state study of water treatment and recycling with Democratic sponsors — died on its first floor calendar. No Economic Forum-style water body exists in statute, and the 21–0 vote suggests the obstacle has been scheduling, not opposition.</w:t>
      </w:r>
    </w:p>
    <w:p>
      <w:pPr>
        <w:widowControl/>
        <w:spacing w:before="84" w:after="36" w:lineRule="auto" w:line="254"/>
      </w:pPr>
      <w:r>
        <w:rPr>
          <w:rFonts w:ascii="Arial" w:hAnsi="Arial" w:cs="Arial" w:eastAsia="Arial"/>
          <w:b/>
          <w:color w:val="C0392B"/>
          <w:sz w:val="25"/>
          <w:spacing w:val="20"/>
        </w:rPr>
        <w:t>REGULATING DATA CENTERS, WITH PUBLIC INPUT</w:t>
      </w:r>
    </w:p>
    <w:p>
      <w:pPr>
        <w:widowControl/>
        <w:spacing w:before="0" w:after="60" w:lineRule="auto" w:line="276"/>
      </w:pPr>
      <w:r>
        <w:rPr>
          <w:rFonts w:ascii="Arial" w:hAnsi="Arial" w:cs="Arial" w:eastAsia="Arial"/>
          <w:b w:val="0"/>
          <w:i/>
          <w:color w:val="666666"/>
          <w:sz w:val="20"/>
        </w:rPr>
        <w:t>Working-group proposal: require closed-loop cooling, self-sufficient power, and no open evaporative cooling — plus transparency and public input before ground-breaking.</w:t>
      </w:r>
    </w:p>
    <w:p>
      <w:pPr>
        <w:keepLines/>
        <w:widowControl/>
        <w:spacing w:before="0" w:after="90" w:lineRule="auto" w:line="276"/>
      </w:pPr>
      <w:r>
        <w:rPr>
          <w:rFonts w:ascii="Arial" w:hAnsi="Arial" w:cs="Arial" w:eastAsia="Arial"/>
          <w:b/>
          <w:color w:val="1A2D4F"/>
          <w:sz w:val="20"/>
        </w:rPr>
        <w:t>No state cooling or water standard for data centers has ever been filed — and the laws on the books lean the other way.</w:t>
      </w:r>
      <w:r>
        <w:rPr>
          <w:rFonts w:ascii="Arial" w:hAnsi="Arial" w:cs="Arial" w:eastAsia="Arial"/>
          <w:b w:val="0"/>
          <w:color w:val="444444"/>
          <w:sz w:val="20"/>
        </w:rPr>
        <w:t xml:space="preserve"> SB547 (2019) let data centers run their own power equipment free of utility regulation, and the abatement statutes actively recruit them. The one bill on cooling technology, AB97 (2023), would have barred local governments from banning newer refrigerants — the water-free direction — and passed 42–0 and 20–0 before being vetoed. AB385 (2025), blocking local bans on large water-cooled towers, died in its first committee, as did AB77 (2025), which named data centers as grounds to deny abatements; SB364 (2025) cleared committee and stalled on the Senate floor.</w:t>
      </w:r>
    </w:p>
    <w:p>
      <w:pPr>
        <w:keepLines/>
        <w:widowControl/>
        <w:spacing w:before="0" w:after="90" w:lineRule="auto" w:line="276"/>
      </w:pPr>
      <w:r>
        <w:rPr>
          <w:rFonts w:ascii="Arial" w:hAnsi="Arial" w:cs="Arial" w:eastAsia="Arial"/>
          <w:b/>
          <w:color w:val="1A2D4F"/>
          <w:sz w:val="20"/>
        </w:rPr>
        <w:t>The public-input half has no bill at all.</w:t>
      </w:r>
      <w:r>
        <w:rPr>
          <w:rFonts w:ascii="Arial" w:hAnsi="Arial" w:cs="Arial" w:eastAsia="Arial"/>
          <w:b w:val="0"/>
          <w:color w:val="444444"/>
          <w:sz w:val="20"/>
        </w:rPr>
        <w:t xml:space="preserve"> No filed bill requires disclosure or public process before a data-center project breaks ground; the closest law on the books is SB276 (2025), cross-party public-notice rules for water pollution permits. The Southern Nevada Water Authority's evaporative-cooling moratorium is an authority rule, not statute, and interim committees studied data-center water and energy through 2026 for the 2027 session — where a state standard would first take shape. A bill matching this proposal would route through Natural Resources for the water rules and the Revenue committees for any abatement conditions.</w:t>
      </w:r>
    </w:p>
    <w:p>
      <w:pPr>
        <w:widowControl/>
        <w:spacing w:before="84" w:after="36" w:lineRule="auto" w:line="254"/>
      </w:pPr>
      <w:r>
        <w:rPr>
          <w:rFonts w:ascii="Arial" w:hAnsi="Arial" w:cs="Arial" w:eastAsia="Arial"/>
          <w:b/>
          <w:color w:val="C0392B"/>
          <w:sz w:val="25"/>
          <w:spacing w:val="20"/>
        </w:rPr>
        <w:t>DESALINATION AND PIPELINES: MOSTLY FEDERAL GROUND</w:t>
      </w:r>
    </w:p>
    <w:p>
      <w:pPr>
        <w:widowControl/>
        <w:spacing w:before="0" w:after="60" w:lineRule="auto" w:line="276"/>
      </w:pPr>
      <w:r>
        <w:rPr>
          <w:rFonts w:ascii="Arial" w:hAnsi="Arial" w:cs="Arial" w:eastAsia="Arial"/>
          <w:b w:val="0"/>
          <w:i/>
          <w:color w:val="666666"/>
          <w:sz w:val="20"/>
        </w:rPr>
        <w:t>Working-group proposal: present desalination and pipelines as largely outside state control, while fostering discussion.</w:t>
      </w:r>
    </w:p>
    <w:p>
      <w:pPr>
        <w:keepLines/>
        <w:widowControl/>
        <w:spacing w:before="0" w:after="90" w:lineRule="auto" w:line="276"/>
      </w:pPr>
      <w:r>
        <w:rPr>
          <w:rFonts w:ascii="Arial" w:hAnsi="Arial" w:cs="Arial" w:eastAsia="Arial"/>
          <w:b/>
          <w:color w:val="1A2D4F"/>
          <w:sz w:val="20"/>
        </w:rPr>
        <w:t>The Nevada Legislature has never taken up a desalination or import-pipeline bill in this record.</w:t>
      </w:r>
      <w:r>
        <w:rPr>
          <w:rFonts w:ascii="Arial" w:hAnsi="Arial" w:cs="Arial" w:eastAsia="Arial"/>
          <w:b w:val="0"/>
          <w:color w:val="444444"/>
          <w:sz w:val="20"/>
        </w:rPr>
        <w:t xml:space="preserve"> Across 108 water bills from 2019 through 2025, none proposes desalination, an interstate pipeline, or ocean-water exchange. The closest gestures are indirect: AB265 (2019), the treatment-and-recycling study that died on its floor calendar, and SJR3 (2023), a resolution asking the federal government to manage the Colorado River better, which passed both houses (joint resolutions do not go to the governor).</w:t>
      </w:r>
    </w:p>
    <w:p>
      <w:pPr>
        <w:keepLines/>
        <w:widowControl/>
        <w:spacing w:before="0" w:after="90" w:lineRule="auto" w:line="276"/>
      </w:pPr>
      <w:r>
        <w:rPr>
          <w:rFonts w:ascii="Arial" w:hAnsi="Arial" w:cs="Arial" w:eastAsia="Arial"/>
          <w:b/>
          <w:color w:val="1A2D4F"/>
          <w:sz w:val="20"/>
        </w:rPr>
        <w:t>The silence matches who actually controls the issue.</w:t>
      </w:r>
      <w:r>
        <w:rPr>
          <w:rFonts w:ascii="Arial" w:hAnsi="Arial" w:cs="Arial" w:eastAsia="Arial"/>
          <w:b w:val="0"/>
          <w:color w:val="444444"/>
          <w:sz w:val="20"/>
        </w:rPr>
        <w:t xml:space="preserve"> Nevada's Colorado River share is fixed by interstate compact and administered by the federal Bureau of Reclamation, and the post-2026 operating rules are being negotiated among the seven basin states and the federal government now. An ocean-desalination exchange would run through agreements with California or Mexico in those federal talks, not through a Nevada law. The in-state precedent points the same way: the pipeline Nevada actually pursued — the water authority's eastern-Nevada groundwater project — was an authority undertaking, and it was withdrawn in 2020 without the Legislature ever voting on it.</w:t>
      </w:r>
    </w:p>
    <w:p>
      <w:pPr>
        <w:widowControl/>
        <w:spacing w:before="40" w:after="0" w:lineRule="auto" w:line="254"/>
        <w:pBdr>
          <w:top w:val="single" w:sz="6" w:space="4" w:color="C8CDD6"/>
        </w:pBdr>
      </w:pPr>
      <w:r>
        <w:rPr>
          <w:rFonts w:ascii="Arial" w:hAnsi="Arial" w:cs="Arial" w:eastAsia="Arial"/>
          <w:b w:val="0"/>
          <w:color w:val="666666"/>
          <w:sz w:val="20"/>
          <w:spacing w:val="4"/>
        </w:rPr>
        <w:t>Companion to the citizen brief v3.0; proposals from the working-group rubric</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