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Rule="auto" w:line="254"/>
      </w:pPr>
      <w:r>
        <w:rPr>
          <w:rFonts w:ascii="Arial" w:hAnsi="Arial" w:cs="Arial" w:eastAsia="Arial"/>
          <w:b/>
          <w:color w:val="1A2D4F"/>
          <w:sz w:val="20"/>
          <w:spacing w:val="20"/>
        </w:rPr>
        <w:t>T H E   F O R U M</w:t>
      </w:r>
    </w:p>
    <w:p>
      <w:pPr>
        <w:widowControl/>
        <w:spacing w:before="0" w:after="120" w:lineRule="auto" w:line="254"/>
        <w:pBdr>
          <w:bottom w:val="single" w:sz="20" w:space="2" w:color="1A2D4F"/>
        </w:pBdr>
      </w:pPr>
    </w:p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Policy Spotlights — Growth, Infrastructure, and Roads Brief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A focused, bill-by-bill look at how far each Phase 2 growth-and-roads proposal has traveled in the General Assembly, 2019–2026. Each proposal is sorted into the same viability groups the brief uses — already law, got support, stopped early, never filed — so the brief shows the overall terrain and these spotlights show one proposal at a time. Proposals are Forum process input from the Phase 2 Community Conversations, labeled [P-…].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NEW OR EXPANDED LOCAL FUNDING TOOLS [P-LOCAL-FUNDING-TOOLS]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Counties already have referendum-gated penny taxes; every bill to widen them for roads and transit died unheard, while a new preservation penny became law.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 (enacted in this record)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S152 (Act 166 of 2022):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County Green Space Sales Tax — a new voter-approved local penny for preserving green space; Senate 43–1 and 41–3, House 67–28.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S217 (Act 146 of 2020):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tourism (hospitality) tax revenue can fund control and repair of flooding and drainage in tourism areas; Senate 34–2, House 87–15.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S40 (Act 89 of 2021):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state rules for municipal restrictions and paid parking on state highways in beach communities, with directions for the parking money; Senate 44–0, House 102–10.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H4589 (Act 203 of 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local-option education capital improvements penny opened to more counties; House 81–18 and 91–14, Senate 40–2.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(died in first committee, no recorded vote)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Transportation penny for transit — filed every session: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S611 and H4389 (2019), H3535 and S437 (2021), S290 (2023) — defining "mass transit system" so penny revenue clearly funds transit; S562 and H4059 (2023) — adding ferries, greenbelts, and drainage to fundable projects; S979 (2026) — greenways, flood-prevention drainage, and ballot language to extend the tax; S594 (2019) — the funding-revisions version.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Penny mechanics: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H3129 (2021) — remove the rule blocking a capital-project penny from stacking on a transportation penny; S116 (2023) — let a renewed capital-project penny run eleven years instead of seven; H5188 and S1113 (2024) — exempt groceries from the transportation penny; S449 (2019) — let the capital-project penny fund economic-development infrastructure.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Penny purposes (workforce housing, green space, emergency services):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S298 and H3911 (2025–26), S1006 (2026), H5744 (2026).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Tolls: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S178 and H3739 (2019) — require SCDOT to toll I-95 at Lake Marion; S780 (2019) — require SCDOT to review every highway and bridge project for toll financing; S499 (2023) — the Lake Marion toll again; S674 (2023) — the Interstate 95 Bridge Toll Act, with toll booths at four bridges and resident relief.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Local fees: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S172 (2019) — a county-option one-cent-a-gallon gas fee for beach renourishment, by referendum; H3483 (2021) — local road-use fees kept in a separate audited account; H4597 (2020) — letting a county keep a pre-1997 hospitality fee (the family that funds Horry County road projects); S629 (2019) and the H3132/H4674 pair (2019–20) — more tourism-tax flexibility.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Green space follow-on: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S792 (2023) — letting a small share of green-space penny money fund conservation management.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MAKE DEVELOPERS PAY FOR GROWTH [P-DEVELOPER-PAYS-GROWTH]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Ten impact-fee bills in two directions; not one got a hearing. The lone enacted impact-fee rule blocked the fees — for schools, for one year.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(died in first committee, no recorded vote)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Expanding the 1999 Development Impact Fee Act: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H4659 (2023) — allow fees on residential development only, or commercial only (today it is all-or-nothing); H5088 (2026) — add road resurfacing as a fundable cost and extend the spending window; H3460 (2021) and H4008 (2025) — a one-time developer fee per new unit funding a Gentrification Trust Fund to help longtime residents stay, with an exemption for projects with 15% low-income housing; H4943 (2022) — let pre-1999 fee programs pay down project debt.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Narrowing it (the building-industry direction):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H4981 and S856 (2023–24) — exclude repair, operation, maintenance, and administrative costs from what fees may cover; H5017 (2024) and H3165 (2025) — the same exclusions packaged with county-to-city development reports and annexation notices; H4672 (2025) — exempt buyers who owned a home in the same school district within fifteen years.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The one enacted impact-fee rule (a budget proviso, one year)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FY 2021-22 proviso 117.96:</w:t>
      </w:r>
      <w:r>
        <w:rPr>
          <w:rFonts w:ascii="Arial" w:hAnsi="Arial" w:cs="Arial" w:eastAsia="Arial"/>
          <w:b w:val="0"/>
          <w:color w:val="444444"/>
          <w:sz w:val="20"/>
        </w:rPr>
        <w:t xml:space="preserve"> barred impact fees on new elementary, middle, and secondary school construction, on pain of losing state aid. Not renewed in any later budget.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Never filed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No proffer statute has ever been proposed; South Carolina law has no negotiated-contribution system.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PUBLIC TRANSIT, RAIL, AND MULTIMODAL OPTIONS [P-MULTIMODAL-TRANSPORT]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Zero hearings on every transit bill in four sessions. The only rail measure with floor votes moves freight — and died in Senate Finance twice.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Got support but didn't finish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H4817 (2022):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Shortline Railroad Modernization Act — a tax credit for half of small railroads' track reconstruction costs; passed the House 106–3, died in Senate Finance.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H3737 (2023):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same act refiled; passed the House 65–46, died in Senate Finance (Senate version S269 died in Finance without a vote).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 (edges of the lane)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S399 (Act 222 of 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refusing to leave a public transit facility after a warning is a misdemeanor, with a warning-and-appeal process; Senate 44–0, House 107–0.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S304 (Act 46 of 2021):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EV-charging framework — when a charging-station host is not a utility, plus a joint legislative committee on transportation electrification; Senate 43–1, House 110–2.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(died in first committee, no recorded vote)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Streets designed for everyone: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H3656 (2019) — a SCDOT "complete streets" policy for pedestrians, cyclists, and transit riders; H3051 (2021) — SCDOT's pre-project feasibility reviews would cover all roads and use measurable standards including dedicated bus lanes; H3654 (2019) — transit-access studies before public facilities are built.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Transit-oriented development: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H3655 (2019) and H4013 (2023) — counties and cities could create transit-oriented redevelopment agencies; H3828 (2019) — the Developer-Provided Transit Stop Act, incentives plus a tax credit for developers building bus stops and walkable paths near transit lines.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Rail studies and commissions: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S216 and H3189 (2019), H3937 (2021), H4122 (2025) — commuter/high-speed rail commissions tied to the Southeast High-Speed Rail Corridor; S730 (2019) — a study committee on connecting to Charlotte's mass transit; H5347 (2024) — SCDOT would study commuter rail alongside existing highways.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Rail infrastructure mechanics: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H4057 (2025) — standardized fees and a dispute process for utility lines crossing railroad property.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Never filed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No bill in this record proposes state operating money for transit service; every filed design is local-option funding, studies, or incentives.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STATE OR REGIONAL PLANNING FOR GROWTH [P-STATE-MASTER-PLANNING]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No state- or regional-planning bill exists in this record. The fights are over state rules on local plans, concurrency, and annexation.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S259 (Act 163 of 2020):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Disaster Relief and Resilience Act — a state Office of Resilience, a statewide resilience plan, and a required resiliency element in every local comprehensive plan; Senate 44–1, House 65–35 (its House twin H4731 died in Judiciary).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H4262 (Act 179 of 2020):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Small Wireless Facilities Deployment Act — statewide rules for 5G small cells in rights of way, limiting local zoning control; 108–2, 32–6, 104–1.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Got support but didn't finish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S227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concurrency — local governments could tie development approval to infrastructure keeping pace; reported favorably, amended on the Senate floor April 29, 2026, died without completing passage. The furthest any growth-management bill traveled in this record.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S288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transferable development rights; favorable Judiciary report, died on the Senate calendar.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(died in first committee, no recorded vote)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Concurrency predecessors and twins: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H5562 (2024), H4050 (2026).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Zoning-decision accountability: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H4390 (2025) — the Community Impact and Opportunity Assessment Act, requiring impact assessments (infrastructure, affordability, displacement) before major zoning decisions; S530 and H4293 (2025) — permits void when zoning officials find a use not permitted.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Annexation controls: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H5742 (2026) — a county could block municipal annexation until an infrastructure impact study and mitigation plan is approved; H4651 (2023) — the Annexation Fairness Act, county standing to challenge annexations; H5196 (2022), H3236 (2023), H4726 (2025) — cities could annex "donut holes" they surround.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The developer-side counter-current (loosening local control):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Home Attainability Act permitting packages (S528 and H3863 in 2021, S4 in 2023, S4 in 2025); 45-day permit shot clocks (H4652 in 2024, H3215 in 2025); housing-cost impact analyses for new ordinances (H4482 and S757, 2019); plat and subdivision definition changes (H4598 and S833, 2019); planning-appeal alignment (H4721, 2019); transferable development rights (H4996 in 2024, H4146 in 2026).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Never filed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State-level or regional comprehensive planning replacing county plans — the design citizens described — has not been proposed by any bill in this record.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MAINTAIN EXISTING ROADS FIRST [P-FIX-ROADS-FIRST]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Every maintenance bill died in first committee. The fix-first money is real — in the annual budget.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(died in first committee, no recorded vote)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H5363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"Fix Our Roads Accountability Act" — a statewide pavement preservation program run through SCDOT's engineering districts, with annual reports.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H4610 (2023):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SCDOT must properly maintain roads transferred into the state highway system.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H3871 (2021) and H3451 (2023):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toll-free SCDOT hotline for motorists whose vehicles are damaged by potholes and road hazards.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H4687 (2025):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county sheriffs would report hazardous road segments to SCDOT, which must respond and keep a public database.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H3516 (2023):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conditions for counties to maintain private roads that are residents' only access.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H4971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SCDOT would transfer certain roads to counties and the 25%-to-state-highways rule for county "C" funds would be deleted.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H3358 (2019):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SCDOT mowing contractors would remove roadside trash before mowing.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Where the idea is law anyway (budget provisos, one year at a time)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Proviso 86.1 (renewed every enacted year):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2017 act's extra money for County Transportation Committees must be spent exclusively on repairs, maintenance, and improvements to the state highway system.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FY 2024-25 proviso 118.22:</w:t>
      </w:r>
      <w:r>
        <w:rPr>
          <w:rFonts w:ascii="Arial" w:hAnsi="Arial" w:cs="Arial" w:eastAsia="Arial"/>
          <w:b w:val="0"/>
          <w:color w:val="444444"/>
          <w:sz w:val="20"/>
        </w:rPr>
        <w:t xml:space="preserve"> $200,000,000 CTC Acceleration Fund; $100,000,000 Bridge Acceleration Fund; $117,401,000 Rural Road Safety Program.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FY 2025-26 proviso 118.22:</w:t>
      </w:r>
      <w:r>
        <w:rPr>
          <w:rFonts w:ascii="Arial" w:hAnsi="Arial" w:cs="Arial" w:eastAsia="Arial"/>
          <w:b w:val="0"/>
          <w:color w:val="444444"/>
          <w:sz w:val="20"/>
        </w:rPr>
        <w:t xml:space="preserve"> $200,000,000 for Bridge Modernization.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FY 2026-27 proviso 118.21:</w:t>
      </w:r>
      <w:r>
        <w:rPr>
          <w:rFonts w:ascii="Arial" w:hAnsi="Arial" w:cs="Arial" w:eastAsia="Arial"/>
          <w:b w:val="0"/>
          <w:color w:val="444444"/>
          <w:sz w:val="20"/>
        </w:rPr>
        <w:t xml:space="preserve"> $175,000,000 CTC Acceleration; $50,000,000 Bridge Modernization.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FY 2026-27 proviso 84.18: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Road Buyback Program — SCDOT identifies state roads no longer serving a statewide purpose and pays counties and cities to take them, resurfaced first, with a report due February 2027.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FUND INFRASTRUCTURE WITHOUT NEW TAXES OR FEES [P-NO-NEW-TAXES]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Ten gas-fee measures died without hearings — and so did the one bill to raise the county share.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(died in first committee, no recorded vote)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Freeze or repeal: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H4091 (2021) — stop the Act 40 phase-in at eight cents; H4092 (2021) — repeal the gas user fee and road tax outright.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2022 price-spike suspensions: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H5103 — suspend for one year; H5112 — suspend whenever average gas prices exceed $3.25 a gallon.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2026 suspensions: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S1045 — thirty days, extended thirty more if prices haven't fallen 15%; H5398, H5419, H5422, H5443, H5475 — five near-identical sixty-day suspension resolutions.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EV fees: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H4945 (2022) and H3177 (2023) — repeal the biennial road-use fee on electric and hybrid vehicles.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The opposite direction, same result: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H5331 (2026) — more than double the county ("C" fund) share of the gas fee; died in Ways and Means.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 (tightening, not cutting)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H3505 (Act 70 of 2021):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road-funding infrastructure maintenance fee now applies at first titling as well as first registration, closing a collection gap; House 106–4, Senate 42–2.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BETTER BIDDING AND CONTRACTOR ACCOUNTABILITY [P-CONTRACTOR-ACCOUNTABILITY]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No bidding bill reached a floor vote; the transparency tools exist as one-year budget rules.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 (edges of the lane)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S401 (Act 36 of 2019):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entities building transportation projects bear the cost of relocating water and sewer lines; Senate 38–0, House 108–0. Extended to 2032 by </w:t>
      </w:r>
      <w:r>
        <w:rPr>
          <w:rFonts w:ascii="Arial" w:hAnsi="Arial" w:cs="Arial" w:eastAsia="Arial"/>
          <w:b/>
          <w:color w:val="1A2D4F"/>
          <w:sz w:val="20"/>
        </w:rPr>
        <w:t>H3768 (Act 244 of 2026)</w:t>
      </w:r>
      <w:r>
        <w:rPr>
          <w:rFonts w:ascii="Arial" w:hAnsi="Arial" w:cs="Arial" w:eastAsia="Arial"/>
          <w:b w:val="0"/>
          <w:color w:val="444444"/>
          <w:sz w:val="20"/>
        </w:rPr>
        <w:t>, 103–0 and 44–0.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H4115 (Act 69 of 2023):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contractor licensing law rewrite — definitions, thresholds, penalties (licensing, not road bidding); House 90–15, Senate 42–0.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or stranded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Design-build: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H5312 (2024) and H3560 (2025) — SCDOT could award contracts by progressive/phase design-build (qualifications first, then price); died in Ways and Means and Education and Public Works.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SCDOT's contractor regulations (2020):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S1069 — the contractor performance-evaluation regulation; S1070 — disqualification and suspension from SCDOT contracts; both placed on the Senate calendar and never taken up when COVID ended the session.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Oversight and access: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H4090 (2021) — the secretary would certify and publish SCDOT's expenditure report, including infrastructure-bank transfers; S385, H4401, H4823 (2019–20) — extend disadvantaged-business participation rules across highway contracts and subcontracts; H3559 (2021) — the Partnership for Public Facilities and Infrastructure Act (public-private partnerships); H4369 (2019) — the resolution approving SCDOT's project-prioritization regulation passed the House 107–0 and was recommitted in Senate Transportation; H3119 (2023) and H3344 (2025) — no critical-infrastructure contracts with certain foreign-owned companies.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Where the accountability tools live now (budget provisos, one year at a time)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Proviso 84.8/84.9 (renewed yearly):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SCDOT must publish its project priority lists and the engineering directives explaining the ranking methodology in a conspicuous public place.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Proviso 84.18 → 84.15 (FY 2024-25 onward):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Programmed Project Viewer public dashboard upgrade — status, forecast versus actual cost, completion dates, an on-time/on-budget list, quarterly reports to the budget chairmen.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512" w:val="right"/>
      </w:tabs>
    </w:pPr>
    <w:r/>
    <w:r>
      <w:rPr>
        <w:rFonts w:ascii="Arial" w:hAnsi="Arial" w:cs="Arial" w:eastAsia="Arial"/>
        <w:b w:val="0"/>
        <w:i/>
        <w:color w:val="666666"/>
        <w:sz w:val="16"/>
      </w:rPr>
      <w:t>SC1 Growth, Infrastructure, and Roads Policy Spotlights v2.0</w:t>
      <w:tab/>
    </w:r>
    <w:fldSimple w:instr=" PAGE ">
      <w:r>
        <w:rPr>
          <w:sz w:val="16"/>
          <w:color w:val="666666"/>
          <w:i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