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 w:lineRule="auto" w:line="254"/>
      </w:pPr>
      <w:r>
        <w:rPr>
          <w:rFonts w:ascii="Arial" w:hAnsi="Arial" w:cs="Arial" w:eastAsia="Arial"/>
          <w:b/>
          <w:color w:val="1A2D4F"/>
          <w:sz w:val="20"/>
          <w:spacing w:val="20"/>
        </w:rPr>
        <w:t>T H E   F O R U M</w:t>
      </w:r>
    </w:p>
    <w:p>
      <w:pPr>
        <w:widowControl/>
        <w:spacing w:before="0" w:after="120" w:lineRule="auto" w:line="254"/>
        <w:pBdr>
          <w:bottom w:val="single" w:sz="20" w:space="2" w:color="1A2D4F"/>
        </w:pBdr>
      </w:pPr>
    </w:p>
    <w:p>
      <w:pPr>
        <w:widowControl/>
        <w:spacing w:before="0" w:after="40" w:lineRule="auto" w:line="252"/>
      </w:pPr>
      <w:r>
        <w:rPr>
          <w:rFonts w:ascii="Arial" w:hAnsi="Arial" w:cs="Arial" w:eastAsia="Arial"/>
          <w:b/>
          <w:color w:val="1A2D4F"/>
          <w:sz w:val="36"/>
        </w:rPr>
        <w:t>Policy Spotlights — Rising Cost of Living Brief</w:t>
      </w:r>
    </w:p>
    <w:p>
      <w:pPr>
        <w:widowControl/>
        <w:spacing w:before="0" w:after="120" w:lineRule="auto" w:line="254"/>
      </w:pPr>
      <w:r>
        <w:rPr>
          <w:rFonts w:ascii="Arial" w:hAnsi="Arial" w:cs="Arial" w:eastAsia="Arial"/>
          <w:b w:val="0"/>
          <w:color w:val="444444"/>
          <w:sz w:val="20"/>
        </w:rPr>
        <w:t>A focused, bill-by-bill look at how far each proposal in the final grid has traveled in the General Assembly, 2019–2026, with each proposal's reported frequency, consensus, and concerns carried alongside the record. Proposals are Forum process input from the Community Conversations, labeled [P-…]; the reported lines are what participants and the feedback grid said, not verified facts. A closing section covers child care assistance, a topic raised in reported discussions with sitting legislators (not a Phase 2 proposal).</w:t>
      </w:r>
    </w:p>
    <w:p>
      <w:pPr>
        <w:widowControl/>
        <w:spacing w:before="84" w:after="36" w:lineRule="auto" w:line="254"/>
      </w:pPr>
      <w:r>
        <w:rPr>
          <w:rFonts w:ascii="Arial" w:hAnsi="Arial" w:cs="Arial" w:eastAsia="Arial"/>
          <w:b/>
          <w:color w:val="C0392B"/>
          <w:sz w:val="25"/>
          <w:spacing w:val="20"/>
        </w:rPr>
        <w:t>UTILITY-RATE TRANSPARENCY AND LEGISLATOR–UTILITY FINANCIAL TIES [P-UTILITY-TRANSPARENCY]</w:t>
      </w:r>
    </w:p>
    <w:p>
      <w:pPr>
        <w:widowControl/>
        <w:spacing w:before="0" w:after="60" w:lineRule="auto" w:line="276"/>
      </w:pPr>
      <w:r>
        <w:rPr>
          <w:rFonts w:ascii="Arial" w:hAnsi="Arial" w:cs="Arial" w:eastAsia="Arial"/>
          <w:b w:val="0"/>
          <w:i/>
          <w:color w:val="666666"/>
          <w:sz w:val="20"/>
        </w:rPr>
        <w:t>Reported: medium frequency (two of four in-person events); high consensus when discussed; participants broadly agreed that consumers feel like the utility company has all the power. The House passed the accountability bills four times, 438–1 combined; Senate Judiciary never took one up. What became law is oversight structure.</w:t>
      </w:r>
    </w:p>
    <w:p>
      <w:pPr>
        <w:widowControl/>
        <w:spacing w:before="70" w:after="30" w:lineRule="auto" w:line="250"/>
      </w:pPr>
      <w:r>
        <w:rPr>
          <w:rFonts w:ascii="Arial" w:hAnsi="Arial" w:cs="Arial" w:eastAsia="Arial"/>
          <w:b/>
          <w:color w:val="2E4A78"/>
          <w:sz w:val="24"/>
        </w:rPr>
        <w:t>Already law (oversight structure, not the money-ties ban)</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H3194 (Act 90 of 2021):</w:t>
      </w:r>
      <w:r>
        <w:rPr>
          <w:rFonts w:ascii="Arial" w:hAnsi="Arial" w:cs="Arial" w:eastAsia="Arial"/>
          <w:b w:val="0"/>
          <w:color w:val="444444"/>
          <w:sz w:val="20"/>
        </w:rPr>
        <w:t xml:space="preserve"> rebuilt Santee Cooper's board and put its rates under Public Service Commission review for the first time; 89–26 and 44–1.</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S271 / H4402 (Acts 74 and 75 of 2025):</w:t>
      </w:r>
      <w:r>
        <w:rPr>
          <w:rFonts w:ascii="Arial" w:hAnsi="Arial" w:cs="Arial" w:eastAsia="Arial"/>
          <w:b w:val="0"/>
          <w:color w:val="444444"/>
          <w:sz w:val="20"/>
        </w:rPr>
        <w:t xml:space="preserve"> restarted the PSC elections that had been on hold while commissioners served expired terms; 40–0 / 110–0 and 44–0.</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H3309 (Act 41 of 2025):</w:t>
      </w:r>
      <w:r>
        <w:rPr>
          <w:rFonts w:ascii="Arial" w:hAnsi="Arial" w:cs="Arial" w:eastAsia="Arial"/>
          <w:b w:val="0"/>
          <w:color w:val="444444"/>
          <w:sz w:val="20"/>
        </w:rPr>
        <w:t xml:space="preserve"> the Energy Security Act — customers may testify as public witnesses in rate cases, with schedules and deadlines for rate proceedings; 94–11 and 38–3.</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S51 (Act 73 of 2025):</w:t>
      </w:r>
      <w:r>
        <w:rPr>
          <w:rFonts w:ascii="Arial" w:hAnsi="Arial" w:cs="Arial" w:eastAsia="Arial"/>
          <w:b w:val="0"/>
          <w:color w:val="444444"/>
          <w:sz w:val="20"/>
        </w:rPr>
        <w:t xml:space="preserve"> proposals process for finishing the V.C. Summer reactors; 43–0 and 111–0. The PSC's Santee Cooper oversight is funded by budget proviso (72.3), not permanent law.</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S996 (Act 181 of 2020):</w:t>
      </w:r>
      <w:r>
        <w:rPr>
          <w:rFonts w:ascii="Arial" w:hAnsi="Arial" w:cs="Arial" w:eastAsia="Arial"/>
          <w:b w:val="0"/>
          <w:color w:val="444444"/>
          <w:sz w:val="20"/>
        </w:rPr>
        <w:t xml:space="preserve"> reopened and extended PSC candidate screening for four seats; 37–0 and 78–32.</w:t>
      </w:r>
    </w:p>
    <w:p>
      <w:pPr>
        <w:widowControl/>
        <w:spacing w:before="70" w:after="30" w:lineRule="auto" w:line="250"/>
      </w:pPr>
      <w:r>
        <w:rPr>
          <w:rFonts w:ascii="Arial" w:hAnsi="Arial" w:cs="Arial" w:eastAsia="Arial"/>
          <w:b/>
          <w:color w:val="2E4A78"/>
          <w:sz w:val="24"/>
        </w:rPr>
        <w:t>Proven support (passed the House; died in Senate Judiciary without a vote)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H4260 (2019):</w:t>
      </w:r>
      <w:r>
        <w:rPr>
          <w:rFonts w:ascii="Arial" w:hAnsi="Arial" w:cs="Arial" w:eastAsia="Arial"/>
          <w:b w:val="0"/>
          <w:color w:val="444444"/>
          <w:sz w:val="20"/>
        </w:rPr>
        <w:t xml:space="preserve"> the Ratepayer Protection Act — no utility campaign contributions, meals, or anything of value to the legislators' panel that screens PSC candidates; whistleblower protections; regulator conflict-of-interest rules. House 105–1.</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H4776 (2019):</w:t>
      </w:r>
      <w:r>
        <w:rPr>
          <w:rFonts w:ascii="Arial" w:hAnsi="Arial" w:cs="Arial" w:eastAsia="Arial"/>
          <w:b w:val="0"/>
          <w:color w:val="444444"/>
          <w:sz w:val="20"/>
        </w:rPr>
        <w:t xml:space="preserve"> ban on former PSC members working for utilities stretched from one year to three. House 101–0.</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H4149 (2022) / H3614 (2023):</w:t>
      </w:r>
      <w:r>
        <w:rPr>
          <w:rFonts w:ascii="Arial" w:hAnsi="Arial" w:cs="Arial" w:eastAsia="Arial"/>
          <w:b w:val="0"/>
          <w:color w:val="444444"/>
          <w:sz w:val="20"/>
        </w:rPr>
        <w:t xml:space="preserve"> the whistleblower protections refiled alone. House 118–0 and 114–0.</w:t>
      </w:r>
    </w:p>
    <w:p>
      <w:pPr>
        <w:widowControl/>
        <w:spacing w:before="70" w:after="30" w:lineRule="auto" w:line="250"/>
      </w:pPr>
      <w:r>
        <w:rPr>
          <w:rFonts w:ascii="Arial" w:hAnsi="Arial" w:cs="Arial" w:eastAsia="Arial"/>
          <w:b/>
          <w:color w:val="2E4A78"/>
          <w:sz w:val="24"/>
        </w:rPr>
        <w:t>Stopped early (died in first committee, no recorded vote)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PSC restructuring:</w:t>
      </w:r>
      <w:r>
        <w:rPr>
          <w:rFonts w:ascii="Arial" w:hAnsi="Arial" w:cs="Arial" w:eastAsia="Arial"/>
          <w:b w:val="0"/>
          <w:color w:val="444444"/>
          <w:sz w:val="20"/>
        </w:rPr>
        <w:t xml:space="preserve"> S779 and S909 (2024) — shrink the commission to five seats, require published reasons for decisions on deadline.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Screening and conduct rules:</w:t>
      </w:r>
      <w:r>
        <w:rPr>
          <w:rFonts w:ascii="Arial" w:hAnsi="Arial" w:cs="Arial" w:eastAsia="Arial"/>
          <w:b w:val="0"/>
          <w:color w:val="444444"/>
          <w:sz w:val="20"/>
        </w:rPr>
        <w:t xml:space="preserve"> H3641, H3642, H4194, H4809, S947 (2019); S344 (2021) and S218 (2023) — rate-increase freezes during emergencies; public election of the PSC (H4531, 2019).</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Citizen oversight:</w:t>
      </w:r>
      <w:r>
        <w:rPr>
          <w:rFonts w:ascii="Arial" w:hAnsi="Arial" w:cs="Arial" w:eastAsia="Arial"/>
          <w:b w:val="0"/>
          <w:color w:val="444444"/>
          <w:sz w:val="20"/>
        </w:rPr>
        <w:t xml:space="preserve"> H5283 (2026, a Utility Citizens Council funded by the utilities) and H5282 (2026, PSC approval before billing-practice changes).</w:t>
      </w:r>
    </w:p>
    <w:p>
      <w:pPr>
        <w:widowControl/>
        <w:spacing w:before="70" w:after="30" w:lineRule="auto" w:line="250"/>
      </w:pPr>
      <w:r>
        <w:rPr>
          <w:rFonts w:ascii="Arial" w:hAnsi="Arial" w:cs="Arial" w:eastAsia="Arial"/>
          <w:b/>
          <w:color w:val="2E4A78"/>
          <w:sz w:val="24"/>
        </w:rPr>
        <w:t>On the disclosure point specifically</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val="0"/>
          <w:color w:val="444444"/>
          <w:sz w:val="20"/>
        </w:rPr>
        <w:t>The grid's legislator note says members already report on their Statements of Economic Interests. The record adds: SEIs are annual public ethics filings, but they are not utility-specific, and no bill from 2019–2026 proposes a utility-specific disclosure duty for legislators. Every filed approach regulated what utilities may give (H4260's gift and contribution bans), not what legislators must disclose.</w:t>
      </w:r>
    </w:p>
    <w:p>
      <w:pPr>
        <w:widowControl/>
        <w:spacing w:before="84" w:after="36" w:lineRule="auto" w:line="254"/>
      </w:pPr>
      <w:r>
        <w:rPr>
          <w:rFonts w:ascii="Arial" w:hAnsi="Arial" w:cs="Arial" w:eastAsia="Arial"/>
          <w:b/>
          <w:color w:val="C0392B"/>
          <w:sz w:val="25"/>
          <w:spacing w:val="20"/>
        </w:rPr>
        <w:t>OPEN THE UTILITY MARKET / END THE MONOPOLY [P-UTILITY-COMPETITION]</w:t>
      </w:r>
    </w:p>
    <w:p>
      <w:pPr>
        <w:widowControl/>
        <w:spacing w:before="0" w:after="60" w:lineRule="auto" w:line="276"/>
      </w:pPr>
      <w:r>
        <w:rPr>
          <w:rFonts w:ascii="Arial" w:hAnsi="Arial" w:cs="Arial" w:eastAsia="Arial"/>
          <w:b w:val="0"/>
          <w:i/>
          <w:color w:val="666666"/>
          <w:sz w:val="20"/>
        </w:rPr>
        <w:t>Reported: medium frequency (two of four events); mixed consensus — some supported the idea that a free market could lower prices, others worried it was impractical given the infrastructure it takes to run a utility; the grid's legislator note calls it a non-starter. Officially studied in 2020; every operative bill was filed in 2026 and died without a vote.</w:t>
      </w:r>
    </w:p>
    <w:p>
      <w:pPr>
        <w:widowControl/>
        <w:spacing w:before="70" w:after="30" w:lineRule="auto" w:line="250"/>
      </w:pPr>
      <w:r>
        <w:rPr>
          <w:rFonts w:ascii="Arial" w:hAnsi="Arial" w:cs="Arial" w:eastAsia="Arial"/>
          <w:b/>
          <w:color w:val="2E4A78"/>
          <w:sz w:val="24"/>
        </w:rPr>
        <w:t>Already law (a study, not a market change)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H4940 (Act 187 of 2020):</w:t>
      </w:r>
      <w:r>
        <w:rPr>
          <w:rFonts w:ascii="Arial" w:hAnsi="Arial" w:cs="Arial" w:eastAsia="Arial"/>
          <w:b w:val="0"/>
          <w:color w:val="444444"/>
          <w:sz w:val="20"/>
        </w:rPr>
        <w:t xml:space="preserve"> created the Electricity Market Reform Measures Study Committee with an independent expert consultant — the state's formal look at the exact feasibility question participants raised; House 81–31 (the most contested vote of any enacted bill in this set), Senate 41–0. The committee's report is outside this bill record.</w:t>
      </w:r>
    </w:p>
    <w:p>
      <w:pPr>
        <w:widowControl/>
        <w:spacing w:before="70" w:after="30" w:lineRule="auto" w:line="250"/>
      </w:pPr>
      <w:r>
        <w:rPr>
          <w:rFonts w:ascii="Arial" w:hAnsi="Arial" w:cs="Arial" w:eastAsia="Arial"/>
          <w:b/>
          <w:color w:val="2E4A78"/>
          <w:sz w:val="24"/>
        </w:rPr>
        <w:t>Stopped early (died in first committee, no recorded vote)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H5439 (2026):</w:t>
      </w:r>
      <w:r>
        <w:rPr>
          <w:rFonts w:ascii="Arial" w:hAnsi="Arial" w:cs="Arial" w:eastAsia="Arial"/>
          <w:b w:val="0"/>
          <w:color w:val="444444"/>
          <w:sz w:val="20"/>
        </w:rPr>
        <w:t xml:space="preserve"> the Electric Retail Choice Act — households and small businesses choose their generation supplier, with PSC permits and plain-language price disclosures.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H5440 / S878 (2026):</w:t>
      </w:r>
      <w:r>
        <w:rPr>
          <w:rFonts w:ascii="Arial" w:hAnsi="Arial" w:cs="Arial" w:eastAsia="Arial"/>
          <w:b w:val="0"/>
          <w:color w:val="444444"/>
          <w:sz w:val="20"/>
        </w:rPr>
        <w:t xml:space="preserve"> third-party electric suppliers for eligible customers over the incumbent utility's wires, with the customer arranging transmission — designs that use the existing infrastructure rather than duplicating it.</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H5525 (2026):</w:t>
      </w:r>
      <w:r>
        <w:rPr>
          <w:rFonts w:ascii="Arial" w:hAnsi="Arial" w:cs="Arial" w:eastAsia="Arial"/>
          <w:b w:val="0"/>
          <w:color w:val="444444"/>
          <w:sz w:val="20"/>
        </w:rPr>
        <w:t xml:space="preserve"> PSC oversight of electric co-ops' wholesale power contracts and rates ("wholesale market access").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H3344 (2019):</w:t>
      </w:r>
      <w:r>
        <w:rPr>
          <w:rFonts w:ascii="Arial" w:hAnsi="Arial" w:cs="Arial" w:eastAsia="Arial"/>
          <w:b w:val="0"/>
          <w:color w:val="444444"/>
          <w:sz w:val="20"/>
        </w:rPr>
        <w:t xml:space="preserve"> businesses could take service from a supplier outside their assigned territory.</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S439 (2021):</w:t>
      </w:r>
      <w:r>
        <w:rPr>
          <w:rFonts w:ascii="Arial" w:hAnsi="Arial" w:cs="Arial" w:eastAsia="Arial"/>
          <w:b w:val="0"/>
          <w:color w:val="444444"/>
          <w:sz w:val="20"/>
        </w:rPr>
        <w:t xml:space="preserve"> Santee Cooper forced to sell its power plants by 2025 and hand transmission to a regional grid operator.</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S998 (2019):</w:t>
      </w:r>
      <w:r>
        <w:rPr>
          <w:rFonts w:ascii="Arial" w:hAnsi="Arial" w:cs="Arial" w:eastAsia="Arial"/>
          <w:b w:val="0"/>
          <w:color w:val="444444"/>
          <w:sz w:val="20"/>
        </w:rPr>
        <w:t xml:space="preserve"> the Senate version of the market-reform study.</w:t>
      </w:r>
    </w:p>
    <w:p>
      <w:pPr>
        <w:widowControl/>
        <w:spacing w:before="70" w:after="30" w:lineRule="auto" w:line="250"/>
      </w:pPr>
      <w:r>
        <w:rPr>
          <w:rFonts w:ascii="Arial" w:hAnsi="Arial" w:cs="Arial" w:eastAsia="Arial"/>
          <w:b/>
          <w:color w:val="2E4A78"/>
          <w:sz w:val="24"/>
        </w:rPr>
        <w:t>Nearby floor signal</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S12 (2025-26):</w:t>
      </w:r>
      <w:r>
        <w:rPr>
          <w:rFonts w:ascii="Arial" w:hAnsi="Arial" w:cs="Arial" w:eastAsia="Arial"/>
          <w:b w:val="0"/>
          <w:color w:val="444444"/>
          <w:sz w:val="20"/>
        </w:rPr>
        <w:t xml:space="preserve"> Santee Cooper co-owning plants with private utilities — the record's closest utility floor vote, second reading 25–18, then recommitted to Senate Judiciary and never revived.</w:t>
      </w:r>
    </w:p>
    <w:p>
      <w:pPr>
        <w:widowControl/>
        <w:spacing w:before="70" w:after="30" w:lineRule="auto" w:line="250"/>
      </w:pPr>
      <w:r>
        <w:rPr>
          <w:rFonts w:ascii="Arial" w:hAnsi="Arial" w:cs="Arial" w:eastAsia="Arial"/>
          <w:b/>
          <w:color w:val="2E4A78"/>
          <w:sz w:val="24"/>
        </w:rPr>
        <w:t>Never filed</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val="0"/>
          <w:color w:val="444444"/>
          <w:sz w:val="20"/>
        </w:rPr>
        <w:t>A straight repeal of exclusive service territories. The 2026 bills all route choice through PSC permits and incumbent wires rather than abolishing territories outright.</w:t>
      </w:r>
    </w:p>
    <w:p>
      <w:pPr>
        <w:widowControl/>
        <w:spacing w:before="84" w:after="36" w:lineRule="auto" w:line="254"/>
      </w:pPr>
      <w:r>
        <w:rPr>
          <w:rFonts w:ascii="Arial" w:hAnsi="Arial" w:cs="Arial" w:eastAsia="Arial"/>
          <w:b/>
          <w:color w:val="C0392B"/>
          <w:sz w:val="25"/>
          <w:spacing w:val="20"/>
        </w:rPr>
        <w:t>PERSONAL BUDGETING AND FINANCIAL EDUCATION [P-FINANCIAL-EDUCATION]</w:t>
      </w:r>
    </w:p>
    <w:p>
      <w:pPr>
        <w:widowControl/>
        <w:spacing w:before="0" w:after="60" w:lineRule="auto" w:line="276"/>
      </w:pPr>
      <w:r>
        <w:rPr>
          <w:rFonts w:ascii="Arial" w:hAnsi="Arial" w:cs="Arial" w:eastAsia="Arial"/>
          <w:b w:val="0"/>
          <w:i/>
          <w:color w:val="666666"/>
          <w:sz w:val="20"/>
        </w:rPr>
        <w:t>Reported: low frequency (Columbia); mixed consensus — agreement that financial responsibility matters, divergence over how to accomplish it; concerns about implementation and whether it is the state's role. The grid's legislator note asks that the idea be tied to a specific action, such as a subject taught in schools. The record shows that specific action already taken — through a budget proviso and a regulation.</w:t>
      </w:r>
    </w:p>
    <w:p>
      <w:pPr>
        <w:widowControl/>
        <w:spacing w:before="70" w:after="30" w:lineRule="auto" w:line="250"/>
      </w:pPr>
      <w:r>
        <w:rPr>
          <w:rFonts w:ascii="Arial" w:hAnsi="Arial" w:cs="Arial" w:eastAsia="Arial"/>
          <w:b/>
          <w:color w:val="2E4A78"/>
          <w:sz w:val="24"/>
        </w:rPr>
        <w:t>Already law / in force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FY 2022-23 budget proviso 1.101:</w:t>
      </w:r>
      <w:r>
        <w:rPr>
          <w:rFonts w:ascii="Arial" w:hAnsi="Arial" w:cs="Arial" w:eastAsia="Arial"/>
          <w:b w:val="0"/>
          <w:color w:val="444444"/>
          <w:sz w:val="20"/>
        </w:rPr>
        <w:t xml:space="preserve"> ordered the State Board of Education to write a required half-credit in personal finance into the graduation rules — the specific school-subject action the feedback note describes.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Regulation 43-234 (Document 5130), effective May 26, 2023:</w:t>
      </w:r>
      <w:r>
        <w:rPr>
          <w:rFonts w:ascii="Arial" w:hAnsi="Arial" w:cs="Arial" w:eastAsia="Arial"/>
          <w:b w:val="0"/>
          <w:color w:val="444444"/>
          <w:sz w:val="20"/>
        </w:rPr>
        <w:t xml:space="preserve"> the requirement itself. Every student entering ninth grade from fall 2023 — the Class of 2027 first — must earn the half-credit to graduate. The approval resolution (S732, 2023) stalled in committee, but the regulation took effect under the state's regulation-review clock anyway.</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Section 59-29-410 (since 2005):</w:t>
      </w:r>
      <w:r>
        <w:rPr>
          <w:rFonts w:ascii="Arial" w:hAnsi="Arial" w:cs="Arial" w:eastAsia="Arial"/>
          <w:b w:val="0"/>
          <w:color w:val="444444"/>
          <w:sz w:val="20"/>
        </w:rPr>
        <w:t xml:space="preserve"> the standing financial-literacy instruction statute — the state claimed this role twenty years ago.</w:t>
      </w:r>
    </w:p>
    <w:p>
      <w:pPr>
        <w:widowControl/>
        <w:spacing w:before="70" w:after="30" w:lineRule="auto" w:line="250"/>
      </w:pPr>
      <w:r>
        <w:rPr>
          <w:rFonts w:ascii="Arial" w:hAnsi="Arial" w:cs="Arial" w:eastAsia="Arial"/>
          <w:b/>
          <w:color w:val="2E4A78"/>
          <w:sz w:val="24"/>
        </w:rPr>
        <w:t>Proven support (passed a chamber or both; never enacted as a bill)</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S16 (2021-22):</w:t>
      </w:r>
      <w:r>
        <w:rPr>
          <w:rFonts w:ascii="Arial" w:hAnsi="Arial" w:cs="Arial" w:eastAsia="Arial"/>
          <w:b w:val="0"/>
          <w:color w:val="444444"/>
          <w:sz w:val="20"/>
        </w:rPr>
        <w:t xml:space="preserve"> personal finance coursework required for graduation in place of the economics requirement; Senate 44–1 and House 109–0 in differing versions; died in conference.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H3199 (2019-20):</w:t>
      </w:r>
      <w:r>
        <w:rPr>
          <w:rFonts w:ascii="Arial" w:hAnsi="Arial" w:cs="Arial" w:eastAsia="Arial"/>
          <w:b w:val="0"/>
          <w:color w:val="444444"/>
          <w:sz w:val="20"/>
        </w:rPr>
        <w:t xml:space="preserve"> added student-loan, credit, and repayment topics to the required program; House 102–10; died in Senate Education.</w:t>
      </w:r>
    </w:p>
    <w:p>
      <w:pPr>
        <w:widowControl/>
        <w:spacing w:before="70" w:after="30" w:lineRule="auto" w:line="250"/>
      </w:pPr>
      <w:r>
        <w:rPr>
          <w:rFonts w:ascii="Arial" w:hAnsi="Arial" w:cs="Arial" w:eastAsia="Arial"/>
          <w:b/>
          <w:color w:val="2E4A78"/>
          <w:sz w:val="24"/>
        </w:rPr>
        <w:t>Stopped early (died in committee, no recorded vote)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S15 (2019):</w:t>
      </w:r>
      <w:r>
        <w:rPr>
          <w:rFonts w:ascii="Arial" w:hAnsi="Arial" w:cs="Arial" w:eastAsia="Arial"/>
          <w:b w:val="0"/>
          <w:color w:val="444444"/>
          <w:sz w:val="20"/>
        </w:rPr>
        <w:t xml:space="preserve"> the half-credit requirement with an end-of-year test — favorable committee report, died on the Senate calendar.</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H4149 (2019), H3116 (2021), S405 (2021):</w:t>
      </w:r>
      <w:r>
        <w:rPr>
          <w:rFonts w:ascii="Arial" w:hAnsi="Arial" w:cs="Arial" w:eastAsia="Arial"/>
          <w:b w:val="0"/>
          <w:color w:val="444444"/>
          <w:sz w:val="20"/>
        </w:rPr>
        <w:t xml:space="preserve"> graduation-requirement refiles.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H3022 (2021), H4582 (2021):</w:t>
      </w:r>
      <w:r>
        <w:rPr>
          <w:rFonts w:ascii="Arial" w:hAnsi="Arial" w:cs="Arial" w:eastAsia="Arial"/>
          <w:b w:val="0"/>
          <w:color w:val="444444"/>
          <w:sz w:val="20"/>
        </w:rPr>
        <w:t xml:space="preserve"> more required topics and life skills for the existing program.</w:t>
      </w:r>
    </w:p>
    <w:p>
      <w:pPr>
        <w:widowControl/>
        <w:spacing w:before="70" w:after="30" w:lineRule="auto" w:line="250"/>
      </w:pPr>
      <w:r>
        <w:rPr>
          <w:rFonts w:ascii="Arial" w:hAnsi="Arial" w:cs="Arial" w:eastAsia="Arial"/>
          <w:b/>
          <w:color w:val="2E4A78"/>
          <w:sz w:val="24"/>
        </w:rPr>
        <w:t>Never filed</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val="0"/>
          <w:color w:val="444444"/>
          <w:sz w:val="20"/>
        </w:rPr>
        <w:t>Anything on financial education for adults — every bill in this record is about high school students. The first class bound by the requirement graduates in 2027, so no outcome data exists yet.</w:t>
      </w:r>
    </w:p>
    <w:p>
      <w:pPr>
        <w:widowControl/>
        <w:spacing w:before="84" w:after="36" w:lineRule="auto" w:line="254"/>
      </w:pPr>
      <w:r>
        <w:rPr>
          <w:rFonts w:ascii="Arial" w:hAnsi="Arial" w:cs="Arial" w:eastAsia="Arial"/>
          <w:b/>
          <w:color w:val="C0392B"/>
          <w:sz w:val="25"/>
          <w:spacing w:val="20"/>
        </w:rPr>
        <w:t>REDUCE OR ELIMINATE PROPERTY AND VEHICLE TAXES [P-REDUCE-PROPERTY-VEHICLE-TAXES]</w:t>
      </w:r>
    </w:p>
    <w:p>
      <w:pPr>
        <w:widowControl/>
        <w:spacing w:before="0" w:after="60" w:lineRule="auto" w:line="276"/>
      </w:pPr>
      <w:r>
        <w:rPr>
          <w:rFonts w:ascii="Arial" w:hAnsi="Arial" w:cs="Arial" w:eastAsia="Arial"/>
          <w:b w:val="0"/>
          <w:i/>
          <w:color w:val="666666"/>
          <w:sz w:val="20"/>
        </w:rPr>
        <w:t>From the grid's legislator-feedback section (no Phase 2 frequency or consensus cells); the standing tradeoff is replacing the revenue that schools and local governments run on. Eighty bills; the wins are narrow and near-unanimous, and the biggest recent relief is one-year budget relief.</w:t>
      </w:r>
    </w:p>
    <w:p>
      <w:pPr>
        <w:widowControl/>
        <w:spacing w:before="70" w:after="30" w:lineRule="auto" w:line="250"/>
      </w:pPr>
      <w:r>
        <w:rPr>
          <w:rFonts w:ascii="Arial" w:hAnsi="Arial" w:cs="Arial" w:eastAsia="Arial"/>
          <w:b/>
          <w:color w:val="2E4A78"/>
          <w:sz w:val="24"/>
        </w:rPr>
        <w:t>Already law</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S866 (Act 228 of 2026):</w:t>
      </w:r>
      <w:r>
        <w:rPr>
          <w:rFonts w:ascii="Arial" w:hAnsi="Arial" w:cs="Arial" w:eastAsia="Arial"/>
          <w:b w:val="0"/>
          <w:color w:val="444444"/>
          <w:sz w:val="20"/>
        </w:rPr>
        <w:t xml:space="preserve"> the Municipal Tax Relief Act — certain cities may ask voters to approve up to a 1% sales tax that funds property tax credits on owner-occupied homes; 32–9 and 96–16. The one enacted design that answers the revenue tradeoff directly, by swapping the revenue source.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H3116 (Act 116 of 2024):</w:t>
      </w:r>
      <w:r>
        <w:rPr>
          <w:rFonts w:ascii="Arial" w:hAnsi="Arial" w:cs="Arial" w:eastAsia="Arial"/>
          <w:b w:val="0"/>
          <w:color w:val="444444"/>
          <w:sz w:val="20"/>
        </w:rPr>
        <w:t xml:space="preserve"> disabled veterans (and qualifying surviving spouses) get the exemption the year disability occurs; 111–0 and 45–0.</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H3841 (Act 140 of 2026):</w:t>
      </w:r>
      <w:r>
        <w:rPr>
          <w:rFonts w:ascii="Arial" w:hAnsi="Arial" w:cs="Arial" w:eastAsia="Arial"/>
          <w:b w:val="0"/>
          <w:color w:val="444444"/>
          <w:sz w:val="20"/>
        </w:rPr>
        <w:t xml:space="preserve"> a home keeps its 4% rate and exemptions while the owner's estate settles; 107–0 and 43–0.</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S233 (Act 236 of 2022):</w:t>
      </w:r>
      <w:r>
        <w:rPr>
          <w:rFonts w:ascii="Arial" w:hAnsi="Arial" w:cs="Arial" w:eastAsia="Arial"/>
          <w:b w:val="0"/>
          <w:color w:val="444444"/>
          <w:sz w:val="20"/>
        </w:rPr>
        <w:t xml:space="preserve"> homestead exemption extended to qualifying surviving spouses and heirs' property; local "service fees" required to benefit those who pay them; 40–0 and 107–4.</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H3482 (Act 69 of 2021):</w:t>
      </w:r>
      <w:r>
        <w:rPr>
          <w:rFonts w:ascii="Arial" w:hAnsi="Arial" w:cs="Arial" w:eastAsia="Arial"/>
          <w:b w:val="0"/>
          <w:color w:val="444444"/>
          <w:sz w:val="20"/>
        </w:rPr>
        <w:t xml:space="preserve"> counties may offer installment property-tax payment schedules; 110–0 and 45–0.</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In the budget:</w:t>
      </w:r>
      <w:r>
        <w:rPr>
          <w:rFonts w:ascii="Arial" w:hAnsi="Arial" w:cs="Arial" w:eastAsia="Arial"/>
          <w:b w:val="0"/>
          <w:color w:val="444444"/>
          <w:sz w:val="20"/>
        </w:rPr>
        <w:t xml:space="preserve"> FY 2026-27 proviso 117.220 (extra $25,000 homestead exemption, state-reimbursed) and provisos 117.208/117.191 (income tax rate cut in effect ahead of the statute's triggers).</w:t>
      </w:r>
    </w:p>
    <w:p>
      <w:pPr>
        <w:widowControl/>
        <w:spacing w:before="70" w:after="30" w:lineRule="auto" w:line="250"/>
      </w:pPr>
      <w:r>
        <w:rPr>
          <w:rFonts w:ascii="Arial" w:hAnsi="Arial" w:cs="Arial" w:eastAsia="Arial"/>
          <w:b/>
          <w:color w:val="2E4A78"/>
          <w:sz w:val="24"/>
        </w:rPr>
        <w:t>Proven support</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S768 (2026):</w:t>
      </w:r>
      <w:r>
        <w:rPr>
          <w:rFonts w:ascii="Arial" w:hAnsi="Arial" w:cs="Arial" w:eastAsia="Arial"/>
          <w:b w:val="0"/>
          <w:color w:val="444444"/>
          <w:sz w:val="20"/>
        </w:rPr>
        <w:t xml:space="preserve"> homestead exemption to $100,000 and eligibility age down to 60; Senate 44–0; died in House Ways and Means — the only broad exemption increase ever to pass a chamber.</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H4880 (2022):</w:t>
      </w:r>
      <w:r>
        <w:rPr>
          <w:rFonts w:ascii="Arial" w:hAnsi="Arial" w:cs="Arial" w:eastAsia="Arial"/>
          <w:b w:val="0"/>
          <w:color w:val="444444"/>
          <w:sz w:val="20"/>
        </w:rPr>
        <w:t xml:space="preserve"> the House's income tax cut (top rate to 6%); House 112–0; died in Senate Finance as the Senate's version (S1087, Act 228 of 2022) became the law.</w:t>
      </w:r>
    </w:p>
    <w:p>
      <w:pPr>
        <w:widowControl/>
        <w:spacing w:before="70" w:after="30" w:lineRule="auto" w:line="250"/>
      </w:pPr>
      <w:r>
        <w:rPr>
          <w:rFonts w:ascii="Arial" w:hAnsi="Arial" w:cs="Arial" w:eastAsia="Arial"/>
          <w:b/>
          <w:color w:val="2E4A78"/>
          <w:sz w:val="24"/>
        </w:rPr>
        <w:t>Stopped early (died in first committee, no recorded vote)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Eliminate property taxes entirely:</w:t>
      </w:r>
      <w:r>
        <w:rPr>
          <w:rFonts w:ascii="Arial" w:hAnsi="Arial" w:cs="Arial" w:eastAsia="Arial"/>
          <w:b w:val="0"/>
          <w:color w:val="444444"/>
          <w:sz w:val="20"/>
        </w:rPr>
        <w:t xml:space="preserve"> H3378 (2025) — all property, with dollar-for-dollar state reimbursement to local governments.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Homestead exemption increases (35 bills):</w:t>
      </w:r>
      <w:r>
        <w:rPr>
          <w:rFonts w:ascii="Arial" w:hAnsi="Arial" w:cs="Arial" w:eastAsia="Arial"/>
          <w:b w:val="0"/>
          <w:color w:val="444444"/>
          <w:sz w:val="20"/>
        </w:rPr>
        <w:t xml:space="preserve"> to $75,000 (S910, 2019), to $100,000 (H3127, 2023), to the home's full value (H3687, 2019; H4197, 2021), greater-of formulas (H5264, 2023; H3380, 2025), new groups (deaf taxpayers: S1027, 2021; S433, 2023), refiled by the half-dozen in 2025-26 (H3419, H3427, H3511, H3742, H4599, H4690, S223).</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Full senior exemptions:</w:t>
      </w:r>
      <w:r>
        <w:rPr>
          <w:rFonts w:ascii="Arial" w:hAnsi="Arial" w:cs="Arial" w:eastAsia="Arial"/>
          <w:b w:val="0"/>
          <w:color w:val="444444"/>
          <w:sz w:val="20"/>
        </w:rPr>
        <w:t xml:space="preserve"> exempt the entire home at 65 (H3736, 2019), at 70 (S565, H4818, S12 refilings), at 80 (H3122, H3386, H3086); the Property Tax Relief for Seniors Act (H3424, 2025: up to $1 million of value, funded by a new sales tax).</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Vehicle and boat taxes (13 bills, zero votes):</w:t>
      </w:r>
      <w:r>
        <w:rPr>
          <w:rFonts w:ascii="Arial" w:hAnsi="Arial" w:cs="Arial" w:eastAsia="Arial"/>
          <w:b w:val="0"/>
          <w:color w:val="444444"/>
          <w:sz w:val="20"/>
        </w:rPr>
        <w:t xml:space="preserve"> one car exempt for seniors (H5014, 2026); disabled veterans' vehicles (H4564, S943); disabled first responders (H4511, H3410); service members posted out of state (S1018); guardians (H4138); boats taxed where kept (S38) and no double billing in twelve months (H5111). Two bills (H3385, H3085) would have barred treasurers from refusing your car-tax payment because you owe on something else.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Valuation changes:</w:t>
      </w:r>
      <w:r>
        <w:rPr>
          <w:rFonts w:ascii="Arial" w:hAnsi="Arial" w:cs="Arial" w:eastAsia="Arial"/>
          <w:b w:val="0"/>
          <w:color w:val="444444"/>
          <w:sz w:val="20"/>
        </w:rPr>
        <w:t xml:space="preserve"> constitutional amendments to redefine fair market value and remove the 15% reassessment cap (H3626, H3671, H3809); delay all reassessments to 2026 (H4910).</w:t>
      </w:r>
    </w:p>
    <w:p>
      <w:pPr>
        <w:widowControl/>
        <w:spacing w:before="70" w:after="30" w:lineRule="auto" w:line="250"/>
      </w:pPr>
      <w:r>
        <w:rPr>
          <w:rFonts w:ascii="Arial" w:hAnsi="Arial" w:cs="Arial" w:eastAsia="Arial"/>
          <w:b/>
          <w:color w:val="2E4A78"/>
          <w:sz w:val="24"/>
        </w:rPr>
        <w:t>Never filed</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val="0"/>
          <w:color w:val="444444"/>
          <w:sz w:val="20"/>
        </w:rPr>
        <w:t>Statewide elimination of the vehicle property tax. Every vehicle bill is a targeted exemption; none ends the tax. (Context for elimination designs: owner-occupied homes already pay no school operating taxes under the 2006 Act 388 swap, so the revenue question concerns the remaining county, municipal, and bond lines.)</w:t>
      </w:r>
    </w:p>
    <w:p>
      <w:pPr>
        <w:widowControl/>
        <w:spacing w:before="84" w:after="36" w:lineRule="auto" w:line="254"/>
      </w:pPr>
      <w:r>
        <w:rPr>
          <w:rFonts w:ascii="Arial" w:hAnsi="Arial" w:cs="Arial" w:eastAsia="Arial"/>
          <w:b/>
          <w:color w:val="C0392B"/>
          <w:sz w:val="25"/>
          <w:spacing w:val="20"/>
        </w:rPr>
        <w:t>CHILD CARE ASSISTANCE — LEGISLATOR-DISCUSSION TOPIC (NOT A PHASE 2 PROPOSAL)</w:t>
      </w:r>
    </w:p>
    <w:p>
      <w:pPr>
        <w:widowControl/>
        <w:spacing w:before="0" w:after="60" w:lineRule="auto" w:line="276"/>
      </w:pPr>
      <w:r>
        <w:rPr>
          <w:rFonts w:ascii="Arial" w:hAnsi="Arial" w:cs="Arial" w:eastAsia="Arial"/>
          <w:b w:val="0"/>
          <w:i/>
          <w:color w:val="666666"/>
          <w:sz w:val="20"/>
        </w:rPr>
        <w:t>Raised in reported discussions with sitting legislators; the record was scanned on request (full scan: `working/south-carolina/rising-cost-of-living/childcare-assistance-scan.md`). The pattern: regulation passes; assistance designs sit in the money committees without votes; the filings are accelerating and all run through the tax code.</w:t>
      </w:r>
    </w:p>
    <w:p>
      <w:pPr>
        <w:widowControl/>
        <w:spacing w:before="70" w:after="30" w:lineRule="auto" w:line="250"/>
      </w:pPr>
      <w:r>
        <w:rPr>
          <w:rFonts w:ascii="Arial" w:hAnsi="Arial" w:cs="Arial" w:eastAsia="Arial"/>
          <w:b/>
          <w:color w:val="2E4A78"/>
          <w:sz w:val="24"/>
        </w:rPr>
        <w:t>Already law (regulation and governance, not assistance)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S595 (Act 52 of 2019):</w:t>
      </w:r>
      <w:r>
        <w:rPr>
          <w:rFonts w:ascii="Arial" w:hAnsi="Arial" w:cs="Arial" w:eastAsia="Arial"/>
          <w:b w:val="0"/>
          <w:color w:val="444444"/>
          <w:sz w:val="20"/>
        </w:rPr>
        <w:t xml:space="preserve"> background-check rules for childcare facility staff; 39–0 and 100–1.</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H4023 (Act 81 of 2023):</w:t>
      </w:r>
      <w:r>
        <w:rPr>
          <w:rFonts w:ascii="Arial" w:hAnsi="Arial" w:cs="Arial" w:eastAsia="Arial"/>
          <w:b w:val="0"/>
          <w:color w:val="444444"/>
          <w:sz w:val="20"/>
        </w:rPr>
        <w:t xml:space="preserve"> restructured local First Steps early-childhood partnership boards; 41–0 and 107–0.</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S862 (Act 216 of 2024):</w:t>
      </w:r>
      <w:r>
        <w:rPr>
          <w:rFonts w:ascii="Arial" w:hAnsi="Arial" w:cs="Arial" w:eastAsia="Arial"/>
          <w:b w:val="0"/>
          <w:color w:val="444444"/>
          <w:sz w:val="20"/>
        </w:rPr>
        <w:t xml:space="preserve"> caregiver education and preservice-training requirements for childcare centers; 44–0 and 108–0.</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In the budget:</w:t>
      </w:r>
      <w:r>
        <w:rPr>
          <w:rFonts w:ascii="Arial" w:hAnsi="Arial" w:cs="Arial" w:eastAsia="Arial"/>
          <w:b w:val="0"/>
          <w:color w:val="444444"/>
          <w:sz w:val="20"/>
        </w:rPr>
        <w:t xml:space="preserve"> the federal voucher/scholarship program runs through DSS under proviso 38.17 every cycle (vouchers must go to providers exceeding minimum licensing standards); FY 2026-27 adds a provider fraud-reporting proviso (38.28); Full-Day 4K / CERDEP pre-K expands through provisos every year.</w:t>
      </w:r>
    </w:p>
    <w:p>
      <w:pPr>
        <w:widowControl/>
        <w:spacing w:before="70" w:after="30" w:lineRule="auto" w:line="250"/>
      </w:pPr>
      <w:r>
        <w:rPr>
          <w:rFonts w:ascii="Arial" w:hAnsi="Arial" w:cs="Arial" w:eastAsia="Arial"/>
          <w:b/>
          <w:color w:val="2E4A78"/>
          <w:sz w:val="24"/>
        </w:rPr>
        <w:t>Proven support</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S946 (2024):</w:t>
      </w:r>
      <w:r>
        <w:rPr>
          <w:rFonts w:ascii="Arial" w:hAnsi="Arial" w:cs="Arial" w:eastAsia="Arial"/>
          <w:b w:val="0"/>
          <w:color w:val="444444"/>
          <w:sz w:val="20"/>
        </w:rPr>
        <w:t xml:space="preserve"> childcare regulations modernization; Senate 45–0 and House 105–0 in differing versions; died in conference at session's end.</w:t>
      </w:r>
    </w:p>
    <w:p>
      <w:pPr>
        <w:widowControl/>
        <w:spacing w:before="70" w:after="30" w:lineRule="auto" w:line="250"/>
      </w:pPr>
      <w:r>
        <w:rPr>
          <w:rFonts w:ascii="Arial" w:hAnsi="Arial" w:cs="Arial" w:eastAsia="Arial"/>
          <w:b/>
          <w:color w:val="2E4A78"/>
          <w:sz w:val="24"/>
        </w:rPr>
        <w:t>Stopped early (died in a money committee, no recorded vote)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H4394 (2025):</w:t>
      </w:r>
      <w:r>
        <w:rPr>
          <w:rFonts w:ascii="Arial" w:hAnsi="Arial" w:cs="Arial" w:eastAsia="Arial"/>
          <w:b w:val="0"/>
          <w:color w:val="444444"/>
          <w:sz w:val="20"/>
        </w:rPr>
        <w:t xml:space="preserve"> workforce-development childcare stipends, through DSS and the state workforce agency, for unemployed parents and caregivers of children under 12 — the only direct-assistance design filed; House Ways and Means.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S47 / H4015 (2025):</w:t>
      </w:r>
      <w:r>
        <w:rPr>
          <w:rFonts w:ascii="Arial" w:hAnsi="Arial" w:cs="Arial" w:eastAsia="Arial"/>
          <w:b w:val="0"/>
          <w:color w:val="444444"/>
          <w:sz w:val="20"/>
        </w:rPr>
        <w:t xml:space="preserve"> a bigger employer childcare-program tax credit plus a new income tax credit for childcare directors and staff (a pay supplement through the tax code); Senate Finance / House Ways and Means.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H5794 (filed August 2026):</w:t>
      </w:r>
      <w:r>
        <w:rPr>
          <w:rFonts w:ascii="Arial" w:hAnsi="Arial" w:cs="Arial" w:eastAsia="Arial"/>
          <w:b w:val="0"/>
          <w:color w:val="444444"/>
          <w:sz w:val="20"/>
        </w:rPr>
        <w:t xml:space="preserve"> make the existing child and dependent care credit refundable — the newest bill in this entire set; House Ways and Means.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H4993 (2024):</w:t>
      </w:r>
      <w:r>
        <w:rPr>
          <w:rFonts w:ascii="Arial" w:hAnsi="Arial" w:cs="Arial" w:eastAsia="Arial"/>
          <w:b w:val="0"/>
          <w:color w:val="444444"/>
          <w:sz w:val="20"/>
        </w:rPr>
        <w:t xml:space="preserve"> the Childcare Advance Act — income tax deferral against childcare expenses; H5205 (2024): pre-K expansion grants; H3079 (2021): an affordable-childcare study committee; S291 (2019): an early-childhood department.</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The other direction:</w:t>
      </w:r>
      <w:r>
        <w:rPr>
          <w:rFonts w:ascii="Arial" w:hAnsi="Arial" w:cs="Arial" w:eastAsia="Arial"/>
          <w:b w:val="0"/>
          <w:color w:val="444444"/>
          <w:sz w:val="20"/>
        </w:rPr>
        <w:t xml:space="preserve"> S770 (2026) would add employment requirements to federally funded childcare assistance; first committee.</w:t>
      </w:r>
    </w:p>
    <w:p>
      <w:pPr>
        <w:widowControl/>
        <w:spacing w:before="70" w:after="30" w:lineRule="auto" w:line="250"/>
      </w:pPr>
      <w:r>
        <w:rPr>
          <w:rFonts w:ascii="Arial" w:hAnsi="Arial" w:cs="Arial" w:eastAsia="Arial"/>
          <w:b/>
          <w:color w:val="2E4A78"/>
          <w:sz w:val="24"/>
        </w:rPr>
        <w:t>Never filed</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val="0"/>
          <w:color w:val="444444"/>
          <w:sz w:val="20"/>
        </w:rPr>
        <w:t>A direct-payment state subsidy to families or providers outside the tax code, or a state-funded expansion of assistance beyond the federal voucher money. Every filed design extends the two childcare tax credits already in statute (§12-6-3440 employer credit; §12-6-3380 child and dependent care credit).</w:t>
      </w:r>
    </w:p>
    <w:sectPr w:rsidR="00FC693F" w:rsidRPr="0006063C" w:rsidSect="00034616">
      <w:footerReference w:type="default" r:id="rId9"/>
      <w:pgSz w:w="12240" w:h="15840"/>
      <w:pgMar w:top="864" w:right="864" w:bottom="864" w:left="864"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512" w:val="right"/>
      </w:tabs>
    </w:pPr>
    <w:r/>
    <w:r>
      <w:rPr>
        <w:rFonts w:ascii="Arial" w:hAnsi="Arial" w:cs="Arial" w:eastAsia="Arial"/>
        <w:b w:val="0"/>
        <w:i/>
        <w:color w:val="666666"/>
        <w:sz w:val="16"/>
      </w:rPr>
      <w:t>SC1 Rising Cost of Living Policy Spotlights v2.1</w:t>
      <w:tab/>
    </w:r>
    <w:fldSimple w:instr=" PAGE ">
      <w:r>
        <w:rPr>
          <w:sz w:val="16"/>
          <w:color w:val="666666"/>
          <w:i/>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