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40" w:lineRule="auto" w:line="252"/>
      </w:pPr>
      <w:r>
        <w:rPr>
          <w:rFonts w:ascii="Arial" w:hAnsi="Arial" w:cs="Arial" w:eastAsia="Arial"/>
          <w:b/>
          <w:color w:val="1A2D4F"/>
          <w:sz w:val="36"/>
        </w:rPr>
        <w:t>Policy Spotlights — Health Care Brief</w:t>
      </w:r>
    </w:p>
    <w:p>
      <w:pPr>
        <w:widowControl/>
        <w:spacing w:before="0" w:after="120" w:lineRule="auto" w:line="254"/>
      </w:pPr>
      <w:r>
        <w:rPr>
          <w:rFonts w:ascii="Arial" w:hAnsi="Arial" w:cs="Arial" w:eastAsia="Arial"/>
          <w:b w:val="0"/>
          <w:color w:val="444444"/>
          <w:sz w:val="20"/>
        </w:rPr>
        <w:t>A focused, bill-by-bill look at how far each short-listed health-care proposal has traveled. Each policy is sorted into the same viability groups the brief uses, so the brief's top section shows what is viable overall and these spotlights show how viable one policy may be.</w:t>
      </w:r>
    </w:p>
    <w:p>
      <w:pPr>
        <w:widowControl/>
        <w:spacing w:before="84" w:after="36" w:lineRule="auto" w:line="254"/>
      </w:pPr>
      <w:r>
        <w:rPr>
          <w:rFonts w:ascii="Arial" w:hAnsi="Arial" w:cs="Arial" w:eastAsia="Arial"/>
          <w:b/>
          <w:color w:val="C0392B"/>
          <w:sz w:val="25"/>
          <w:spacing w:val="20"/>
        </w:rPr>
        <w:t>GROWING THE SUPPLY OF DOCTORS AND PROVIDERS</w:t>
      </w:r>
    </w:p>
    <w:p>
      <w:pPr>
        <w:widowControl/>
        <w:spacing w:before="0" w:after="60" w:lineRule="auto" w:line="276"/>
      </w:pPr>
      <w:r>
        <w:rPr>
          <w:rFonts w:ascii="Arial" w:hAnsi="Arial" w:cs="Arial" w:eastAsia="Arial"/>
          <w:b w:val="0"/>
          <w:i/>
          <w:color w:val="666666"/>
          <w:sz w:val="20"/>
        </w:rPr>
        <w:t>No provider-supply bill has ever lost a floor vote; these bills succeed or die in committee and budget review.</w:t>
      </w:r>
    </w:p>
    <w:p>
      <w:pPr>
        <w:widowControl/>
        <w:spacing w:before="70" w:after="30" w:lineRule="auto" w:line="250"/>
      </w:pPr>
      <w:r>
        <w:rPr>
          <w:rFonts w:ascii="Arial" w:hAnsi="Arial" w:cs="Arial" w:eastAsia="Arial"/>
          <w:b/>
          <w:color w:val="2E4A78"/>
          <w:sz w:val="24"/>
        </w:rPr>
        <w:t>Already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SB5 (2025 special session):</w:t>
      </w:r>
      <w:r>
        <w:rPr>
          <w:rFonts w:ascii="Arial" w:hAnsi="Arial" w:cs="Arial" w:eastAsia="Arial"/>
          <w:b w:val="0"/>
          <w:color w:val="444444"/>
          <w:sz w:val="20"/>
        </w:rPr>
        <w:t xml:space="preserve"> the Statewide Health Care Access and Recruitment Grant Program; 15–6 and 37–0 — enacted after the regular-session version (SB434, 18–2 and 42–0) died on the final day.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SB350 (2023):</w:t>
      </w:r>
      <w:r>
        <w:rPr>
          <w:rFonts w:ascii="Arial" w:hAnsi="Arial" w:cs="Arial" w:eastAsia="Arial"/>
          <w:b w:val="0"/>
          <w:color w:val="444444"/>
          <w:sz w:val="20"/>
        </w:rPr>
        <w:t xml:space="preserve"> created physician residency grants; 21–0 and 40–0 (revised unanimously in 2025 by SB262).</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Dental therapy became a licensed profession in 2019.</w:t>
      </w:r>
    </w:p>
    <w:p>
      <w:pPr>
        <w:widowControl/>
        <w:spacing w:before="70" w:after="30" w:lineRule="auto" w:line="250"/>
      </w:pPr>
      <w:r>
        <w:rPr>
          <w:rFonts w:ascii="Arial" w:hAnsi="Arial" w:cs="Arial" w:eastAsia="Arial"/>
          <w:b/>
          <w:color w:val="2E4A78"/>
          <w:sz w:val="24"/>
        </w:rPr>
        <w:t>Proven support (cleared one chamber or a committee)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SB495 (2025):</w:t>
      </w:r>
      <w:r>
        <w:rPr>
          <w:rFonts w:ascii="Arial" w:hAnsi="Arial" w:cs="Arial" w:eastAsia="Arial"/>
          <w:b w:val="0"/>
          <w:color w:val="444444"/>
          <w:sz w:val="20"/>
        </w:rPr>
        <w:t xml:space="preserve"> a workforce-needs assessment; passed the Senate 13–8 and died in the Assembly.</w:t>
      </w:r>
    </w:p>
    <w:p>
      <w:pPr>
        <w:widowControl/>
        <w:spacing w:before="70" w:after="30" w:lineRule="auto" w:line="250"/>
      </w:pPr>
      <w:r>
        <w:rPr>
          <w:rFonts w:ascii="Arial" w:hAnsi="Arial" w:cs="Arial" w:eastAsia="Arial"/>
          <w:b/>
          <w:color w:val="2E4A78"/>
          <w:sz w:val="24"/>
        </w:rPr>
        <w:t>Stopped early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AB372 (2021) and AB393 (2023):</w:t>
      </w:r>
      <w:r>
        <w:rPr>
          <w:rFonts w:ascii="Arial" w:hAnsi="Arial" w:cs="Arial" w:eastAsia="Arial"/>
          <w:b w:val="0"/>
          <w:color w:val="444444"/>
          <w:sz w:val="20"/>
        </w:rPr>
        <w:t xml:space="preserve"> physician-recruitment packages (student-debt repayment plus stipends), sponsored across party lines; died in their first committees.</w:t>
      </w:r>
    </w:p>
    <w:p>
      <w:pPr>
        <w:widowControl/>
        <w:spacing w:before="84" w:after="36" w:lineRule="auto" w:line="254"/>
      </w:pPr>
      <w:r>
        <w:rPr>
          <w:rFonts w:ascii="Arial" w:hAnsi="Arial" w:cs="Arial" w:eastAsia="Arial"/>
          <w:b/>
          <w:color w:val="C0392B"/>
          <w:sz w:val="25"/>
          <w:spacing w:val="20"/>
        </w:rPr>
        <w:t>LICENSURE COMPACTS AND RECIPROCITY</w:t>
      </w:r>
    </w:p>
    <w:p>
      <w:pPr>
        <w:widowControl/>
        <w:spacing w:before="0" w:after="60" w:lineRule="auto" w:line="276"/>
      </w:pPr>
      <w:r>
        <w:rPr>
          <w:rFonts w:ascii="Arial" w:hAnsi="Arial" w:cs="Arial" w:eastAsia="Arial"/>
          <w:b w:val="0"/>
          <w:i/>
          <w:color w:val="666666"/>
          <w:sz w:val="20"/>
        </w:rPr>
        <w:t>Four of the five compacts are law; only the nurse compact is stuck, and only in committee.</w:t>
      </w:r>
    </w:p>
    <w:p>
      <w:pPr>
        <w:widowControl/>
        <w:spacing w:before="70" w:after="30" w:lineRule="auto" w:line="250"/>
      </w:pPr>
      <w:r>
        <w:rPr>
          <w:rFonts w:ascii="Arial" w:hAnsi="Arial" w:cs="Arial" w:eastAsia="Arial"/>
          <w:b/>
          <w:color w:val="2E4A78"/>
          <w:sz w:val="24"/>
        </w:rPr>
        <w:t>Already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SB186 (2019), re-enacted as AB248 (2025):</w:t>
      </w:r>
      <w:r>
        <w:rPr>
          <w:rFonts w:ascii="Arial" w:hAnsi="Arial" w:cs="Arial" w:eastAsia="Arial"/>
          <w:b w:val="0"/>
          <w:color w:val="444444"/>
          <w:sz w:val="20"/>
        </w:rPr>
        <w:t xml:space="preserve"> the physical-therapy compact.</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AB158 (2023):</w:t>
      </w:r>
      <w:r>
        <w:rPr>
          <w:rFonts w:ascii="Arial" w:hAnsi="Arial" w:cs="Arial" w:eastAsia="Arial"/>
          <w:b w:val="0"/>
          <w:color w:val="444444"/>
          <w:sz w:val="20"/>
        </w:rPr>
        <w:t xml:space="preserve"> the EMS personnel compact.</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AB230 (2025):</w:t>
      </w:r>
      <w:r>
        <w:rPr>
          <w:rFonts w:ascii="Arial" w:hAnsi="Arial" w:cs="Arial" w:eastAsia="Arial"/>
          <w:b w:val="0"/>
          <w:color w:val="444444"/>
          <w:sz w:val="20"/>
        </w:rPr>
        <w:t xml:space="preserve"> the audiology and speech-language compact.</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AB334 (2025):</w:t>
      </w:r>
      <w:r>
        <w:rPr>
          <w:rFonts w:ascii="Arial" w:hAnsi="Arial" w:cs="Arial" w:eastAsia="Arial"/>
          <w:b w:val="0"/>
          <w:color w:val="444444"/>
          <w:sz w:val="20"/>
        </w:rPr>
        <w:t xml:space="preserve"> dental-hygienist licensure by endorsement; 42–0 and 21–0.</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SB124 (2025):</w:t>
      </w:r>
      <w:r>
        <w:rPr>
          <w:rFonts w:ascii="Arial" w:hAnsi="Arial" w:cs="Arial" w:eastAsia="Arial"/>
          <w:b w:val="0"/>
          <w:color w:val="444444"/>
          <w:sz w:val="20"/>
        </w:rPr>
        <w:t xml:space="preserve"> eased foreign-trained doctors into full licensure; 41–0 and 21–0.</w:t>
      </w:r>
    </w:p>
    <w:p>
      <w:pPr>
        <w:widowControl/>
        <w:spacing w:before="70" w:after="30" w:lineRule="auto" w:line="250"/>
      </w:pPr>
      <w:r>
        <w:rPr>
          <w:rFonts w:ascii="Arial" w:hAnsi="Arial" w:cs="Arial" w:eastAsia="Arial"/>
          <w:b/>
          <w:color w:val="2E4A78"/>
          <w:sz w:val="24"/>
        </w:rPr>
        <w:t>Stopped early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AB142 (2021) and AB108 (2023):</w:t>
      </w:r>
      <w:r>
        <w:rPr>
          <w:rFonts w:ascii="Arial" w:hAnsi="Arial" w:cs="Arial" w:eastAsia="Arial"/>
          <w:b w:val="0"/>
          <w:color w:val="444444"/>
          <w:sz w:val="20"/>
        </w:rPr>
        <w:t xml:space="preserve"> the Nurse Licensure Compact; died in Assembly Commerce and Labor.</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SB34 (2025):</w:t>
      </w:r>
      <w:r>
        <w:rPr>
          <w:rFonts w:ascii="Arial" w:hAnsi="Arial" w:cs="Arial" w:eastAsia="Arial"/>
          <w:b w:val="0"/>
          <w:color w:val="444444"/>
          <w:sz w:val="20"/>
        </w:rPr>
        <w:t xml:space="preserve"> a five-compact omnibus including nursing; died in Senate Commerce and Labor while two of its compacts passed separately.</w:t>
      </w:r>
    </w:p>
    <w:p>
      <w:pPr>
        <w:widowControl/>
        <w:spacing w:before="84" w:after="36" w:lineRule="auto" w:line="254"/>
      </w:pPr>
      <w:r>
        <w:rPr>
          <w:rFonts w:ascii="Arial" w:hAnsi="Arial" w:cs="Arial" w:eastAsia="Arial"/>
          <w:b/>
          <w:color w:val="C0392B"/>
          <w:sz w:val="25"/>
          <w:spacing w:val="20"/>
        </w:rPr>
        <w:t>LOAN FORGIVENESS AND MEDICAL-DEBT RELIEF</w:t>
      </w:r>
    </w:p>
    <w:p>
      <w:pPr>
        <w:widowControl/>
        <w:spacing w:before="0" w:after="60" w:lineRule="auto" w:line="276"/>
      </w:pPr>
      <w:r>
        <w:rPr>
          <w:rFonts w:ascii="Arial" w:hAnsi="Arial" w:cs="Arial" w:eastAsia="Arial"/>
          <w:b w:val="0"/>
          <w:i/>
          <w:color w:val="666666"/>
          <w:sz w:val="20"/>
        </w:rPr>
        <w:t>Provider loan repayment keeps passing; patient debt-relief bills pass the Legislature and stop at the governor's veto.</w:t>
      </w:r>
    </w:p>
    <w:p>
      <w:pPr>
        <w:widowControl/>
        <w:spacing w:before="70" w:after="30" w:lineRule="auto" w:line="250"/>
      </w:pPr>
      <w:r>
        <w:rPr>
          <w:rFonts w:ascii="Arial" w:hAnsi="Arial" w:cs="Arial" w:eastAsia="Arial"/>
          <w:b/>
          <w:color w:val="2E4A78"/>
          <w:sz w:val="24"/>
        </w:rPr>
        <w:t>Already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Health Service Corps:</w:t>
      </w:r>
      <w:r>
        <w:rPr>
          <w:rFonts w:ascii="Arial" w:hAnsi="Arial" w:cs="Arial" w:eastAsia="Arial"/>
          <w:b w:val="0"/>
          <w:color w:val="444444"/>
          <w:sz w:val="20"/>
        </w:rPr>
        <w:t xml:space="preserve"> loan repayment for providers in underserved areas; funded in 2019 and 2021.</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AB45 (2023):</w:t>
      </w:r>
      <w:r>
        <w:rPr>
          <w:rFonts w:ascii="Arial" w:hAnsi="Arial" w:cs="Arial" w:eastAsia="Arial"/>
          <w:b w:val="0"/>
          <w:color w:val="444444"/>
          <w:sz w:val="20"/>
        </w:rPr>
        <w:t xml:space="preserve"> a broader underserved-communities loan-repayment program; 41–0 and 21–0.</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AB269 and SB266 (2025):</w:t>
      </w:r>
      <w:r>
        <w:rPr>
          <w:rFonts w:ascii="Arial" w:hAnsi="Arial" w:cs="Arial" w:eastAsia="Arial"/>
          <w:b w:val="0"/>
          <w:color w:val="444444"/>
          <w:sz w:val="20"/>
        </w:rPr>
        <w:t xml:space="preserve"> widened eligibility.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SB248 (2021):</w:t>
      </w:r>
      <w:r>
        <w:rPr>
          <w:rFonts w:ascii="Arial" w:hAnsi="Arial" w:cs="Arial" w:eastAsia="Arial"/>
          <w:b w:val="0"/>
          <w:color w:val="444444"/>
          <w:sz w:val="20"/>
        </w:rPr>
        <w:t xml:space="preserve"> set rules for medical-debt collection agencies.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AB305 (2025):</w:t>
      </w:r>
      <w:r>
        <w:rPr>
          <w:rFonts w:ascii="Arial" w:hAnsi="Arial" w:cs="Arial" w:eastAsia="Arial"/>
          <w:b w:val="0"/>
          <w:color w:val="444444"/>
          <w:sz w:val="20"/>
        </w:rPr>
        <w:t xml:space="preserve"> capped what providers may charge for medical-leave forms.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AB343 (2025):</w:t>
      </w:r>
      <w:r>
        <w:rPr>
          <w:rFonts w:ascii="Arial" w:hAnsi="Arial" w:cs="Arial" w:eastAsia="Arial"/>
          <w:b w:val="0"/>
          <w:color w:val="444444"/>
          <w:sz w:val="20"/>
        </w:rPr>
        <w:t xml:space="preserve"> required hospitals to publish standard charges and price-estimator tools.</w:t>
      </w:r>
    </w:p>
    <w:p>
      <w:pPr>
        <w:widowControl/>
        <w:spacing w:before="70" w:after="30" w:lineRule="auto" w:line="250"/>
      </w:pPr>
      <w:r>
        <w:rPr>
          <w:rFonts w:ascii="Arial" w:hAnsi="Arial" w:cs="Arial" w:eastAsia="Arial"/>
          <w:b/>
          <w:color w:val="2E4A78"/>
          <w:sz w:val="24"/>
        </w:rPr>
        <w:t>Closest to law (passed both chambers)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AB204 (2025):</w:t>
      </w:r>
      <w:r>
        <w:rPr>
          <w:rFonts w:ascii="Arial" w:hAnsi="Arial" w:cs="Arial" w:eastAsia="Arial"/>
          <w:b w:val="0"/>
          <w:color w:val="444444"/>
          <w:sz w:val="20"/>
        </w:rPr>
        <w:t xml:space="preserve"> would have barred arrests and property liens over medical debt; vetoed.</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AB282 (2025):</w:t>
      </w:r>
      <w:r>
        <w:rPr>
          <w:rFonts w:ascii="Arial" w:hAnsi="Arial" w:cs="Arial" w:eastAsia="Arial"/>
          <w:b w:val="0"/>
          <w:color w:val="444444"/>
          <w:sz w:val="20"/>
        </w:rPr>
        <w:t xml:space="preserve"> would have required billers to fix reported overcharges; vetoed.</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AB437 (2023):</w:t>
      </w:r>
      <w:r>
        <w:rPr>
          <w:rFonts w:ascii="Arial" w:hAnsi="Arial" w:cs="Arial" w:eastAsia="Arial"/>
          <w:b w:val="0"/>
          <w:color w:val="444444"/>
          <w:sz w:val="20"/>
        </w:rPr>
        <w:t xml:space="preserve"> would have limited medical-paperwork fees; vetoed.</w:t>
      </w:r>
    </w:p>
    <w:p>
      <w:pPr>
        <w:widowControl/>
        <w:spacing w:before="84" w:after="36" w:lineRule="auto" w:line="254"/>
      </w:pPr>
      <w:r>
        <w:rPr>
          <w:rFonts w:ascii="Arial" w:hAnsi="Arial" w:cs="Arial" w:eastAsia="Arial"/>
          <w:b/>
          <w:color w:val="C0392B"/>
          <w:sz w:val="25"/>
          <w:spacing w:val="20"/>
        </w:rPr>
        <w:t>EMPLOYER AND SMALL-BUSINESS INSURANCE POOLING</w:t>
      </w:r>
    </w:p>
    <w:p>
      <w:pPr>
        <w:widowControl/>
        <w:spacing w:before="0" w:after="60" w:lineRule="auto" w:line="276"/>
      </w:pPr>
      <w:r>
        <w:rPr>
          <w:rFonts w:ascii="Arial" w:hAnsi="Arial" w:cs="Arial" w:eastAsia="Arial"/>
          <w:b w:val="0"/>
          <w:i/>
          <w:color w:val="666666"/>
          <w:sz w:val="20"/>
        </w:rPr>
        <w:t>Nevada has legislated around the edges of pooling; the any-group design has never been filed, and federal law limits how far a state can go.</w:t>
      </w:r>
    </w:p>
    <w:p>
      <w:pPr>
        <w:widowControl/>
        <w:spacing w:before="70" w:after="30" w:lineRule="auto" w:line="250"/>
      </w:pPr>
      <w:r>
        <w:rPr>
          <w:rFonts w:ascii="Arial" w:hAnsi="Arial" w:cs="Arial" w:eastAsia="Arial"/>
          <w:b/>
          <w:color w:val="2E4A78"/>
          <w:sz w:val="24"/>
        </w:rPr>
        <w:t>Already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SB481 (2019):</w:t>
      </w:r>
      <w:r>
        <w:rPr>
          <w:rFonts w:ascii="Arial" w:hAnsi="Arial" w:cs="Arial" w:eastAsia="Arial"/>
          <w:b w:val="0"/>
          <w:color w:val="444444"/>
          <w:sz w:val="20"/>
        </w:rPr>
        <w:t xml:space="preserve"> regulated association health plans and self-funded multiple-employer arrangements; unanimous.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SB482 (2019):</w:t>
      </w:r>
      <w:r>
        <w:rPr>
          <w:rFonts w:ascii="Arial" w:hAnsi="Arial" w:cs="Arial" w:eastAsia="Arial"/>
          <w:b w:val="0"/>
          <w:color w:val="444444"/>
          <w:sz w:val="20"/>
        </w:rPr>
        <w:t xml:space="preserve"> addressed interstate insurer-choice compacts.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SB396 (2021):</w:t>
      </w:r>
      <w:r>
        <w:rPr>
          <w:rFonts w:ascii="Arial" w:hAnsi="Arial" w:cs="Arial" w:eastAsia="Arial"/>
          <w:b w:val="0"/>
          <w:color w:val="444444"/>
          <w:sz w:val="20"/>
        </w:rPr>
        <w:t xml:space="preserve"> let public agencies pool with private entities for drug purchasing.</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SB420 (2021):</w:t>
      </w:r>
      <w:r>
        <w:rPr>
          <w:rFonts w:ascii="Arial" w:hAnsi="Arial" w:cs="Arial" w:eastAsia="Arial"/>
          <w:b w:val="0"/>
          <w:color w:val="444444"/>
          <w:sz w:val="20"/>
        </w:rPr>
        <w:t xml:space="preserve"> created the Public Option, a state-designed plan any Nevadan can buy; 12–9 and 26–15.</w:t>
      </w:r>
    </w:p>
    <w:p>
      <w:pPr>
        <w:widowControl/>
        <w:spacing w:before="70" w:after="30" w:lineRule="auto" w:line="250"/>
      </w:pPr>
      <w:r>
        <w:rPr>
          <w:rFonts w:ascii="Arial" w:hAnsi="Arial" w:cs="Arial" w:eastAsia="Arial"/>
          <w:b/>
          <w:color w:val="2E4A78"/>
          <w:sz w:val="24"/>
        </w:rPr>
        <w:t>Stopped early</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SCR10 (2019):</w:t>
      </w:r>
      <w:r>
        <w:rPr>
          <w:rFonts w:ascii="Arial" w:hAnsi="Arial" w:cs="Arial" w:eastAsia="Arial"/>
          <w:b w:val="0"/>
          <w:color w:val="444444"/>
          <w:sz w:val="20"/>
        </w:rPr>
        <w:t xml:space="preserve"> a study of an open-to-all public plan; died in its first committee.</w:t>
      </w:r>
    </w:p>
    <w:p>
      <w:pPr>
        <w:widowControl/>
        <w:spacing w:before="70" w:after="30" w:lineRule="auto" w:line="250"/>
      </w:pPr>
      <w:r>
        <w:rPr>
          <w:rFonts w:ascii="Arial" w:hAnsi="Arial" w:cs="Arial" w:eastAsia="Arial"/>
          <w:b/>
          <w:color w:val="2E4A78"/>
          <w:sz w:val="24"/>
        </w:rPr>
        <w:t>Never filed</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The any-group pooling design the working group described has never been introduced; most employer coverage is self-funded under federal ERISA law, beyond state reach.</w:t>
      </w:r>
    </w:p>
    <w:p>
      <w:pPr>
        <w:widowControl/>
        <w:spacing w:before="40" w:after="0" w:lineRule="auto" w:line="254"/>
        <w:pBdr>
          <w:top w:val="single" w:sz="6" w:space="4" w:color="C8CDD6"/>
        </w:pBdr>
      </w:pPr>
      <w:r>
        <w:rPr>
          <w:rFonts w:ascii="Arial" w:hAnsi="Arial" w:cs="Arial" w:eastAsia="Arial"/>
          <w:b w:val="0"/>
          <w:color w:val="666666"/>
          <w:sz w:val="20"/>
          <w:spacing w:val="4"/>
        </w:rPr>
        <w:t>Companion to the citizen brief v4.0; proposals from the working-group rubric</w:t>
      </w:r>
    </w:p>
    <w:sectPr w:rsidR="00FC693F" w:rsidRPr="0006063C" w:rsidSect="00034616">
      <w:footerReference w:type="default" r:id="rId9"/>
      <w:pgSz w:w="12240" w:h="15840"/>
      <w:pgMar w:top="864" w:right="864" w:bottom="864" w:left="864"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512" w:val="right"/>
      </w:tabs>
    </w:pPr>
    <w:r/>
    <w:r>
      <w:rPr>
        <w:rFonts w:ascii="Arial" w:hAnsi="Arial" w:cs="Arial" w:eastAsia="Arial"/>
        <w:b w:val="0"/>
        <w:i/>
        <w:color w:val="666666"/>
        <w:sz w:val="16"/>
      </w:rPr>
      <w:t>NV1 Healthcare Policy Spotlights v4.0</w:t>
      <w:tab/>
    </w:r>
    <w:fldSimple w:instr=" PAGE ">
      <w:r>
        <w:rPr>
          <w:sz w:val="16"/>
          <w:color w:val="666666"/>
          <w:i/>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