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Policy Spotlights — K-12 Brief</w:t>
      </w:r>
    </w:p>
    <w:p>
      <w:pPr>
        <w:widowControl/>
        <w:spacing w:before="0" w:after="120" w:lineRule="auto" w:line="254"/>
      </w:pPr>
      <w:r>
        <w:rPr>
          <w:rFonts w:ascii="Arial" w:hAnsi="Arial" w:cs="Arial" w:eastAsia="Arial"/>
          <w:b w:val="0"/>
          <w:color w:val="444444"/>
          <w:sz w:val="20"/>
        </w:rPr>
        <w:t>A focused, bill-by-bill look at how far each short-listed K-12 education proposal has traveled. Each policy is sorted into the same viability groups the brief uses, so the brief's top section shows what is viable overall and these spotlights show how viable one policy may be.</w:t>
      </w:r>
    </w:p>
    <w:p>
      <w:pPr>
        <w:widowControl/>
        <w:spacing w:before="84" w:after="36" w:lineRule="auto" w:line="254"/>
      </w:pPr>
      <w:r>
        <w:rPr>
          <w:rFonts w:ascii="Arial" w:hAnsi="Arial" w:cs="Arial" w:eastAsia="Arial"/>
          <w:b/>
          <w:color w:val="C0392B"/>
          <w:sz w:val="25"/>
          <w:spacing w:val="20"/>
        </w:rPr>
        <w:t>PER-PUPIL FUNDING</w:t>
      </w:r>
    </w:p>
    <w:p>
      <w:pPr>
        <w:widowControl/>
        <w:spacing w:before="0" w:after="60" w:lineRule="auto" w:line="276"/>
      </w:pPr>
      <w:r>
        <w:rPr>
          <w:rFonts w:ascii="Arial" w:hAnsi="Arial" w:cs="Arial" w:eastAsia="Arial"/>
          <w:b w:val="0"/>
          <w:i/>
          <w:color w:val="666666"/>
          <w:sz w:val="20"/>
        </w:rPr>
        <w:t>The funding system has been rebuilt and is funded every session; a guaranteed minimum funding level has never reached a floor vote. The statutory Commission on School Funding already calculates what full funding would take.</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SB543 (2019):</w:t>
      </w:r>
      <w:r>
        <w:rPr>
          <w:rFonts w:ascii="Arial" w:hAnsi="Arial" w:cs="Arial" w:eastAsia="Arial"/>
          <w:b w:val="0"/>
          <w:color w:val="444444"/>
          <w:sz w:val="20"/>
        </w:rPr>
        <w:t xml:space="preserve"> created the Pupil-Centered Funding Plan; 18–3 and 34–7.</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SB439 (2021):</w:t>
      </w:r>
      <w:r>
        <w:rPr>
          <w:rFonts w:ascii="Arial" w:hAnsi="Arial" w:cs="Arial" w:eastAsia="Arial"/>
          <w:b w:val="0"/>
          <w:color w:val="444444"/>
          <w:sz w:val="20"/>
        </w:rPr>
        <w:t xml:space="preserve"> rebuilt its revenue streams.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AB495 (2021):</w:t>
      </w:r>
      <w:r>
        <w:rPr>
          <w:rFonts w:ascii="Arial" w:hAnsi="Arial" w:cs="Arial" w:eastAsia="Arial"/>
          <w:b w:val="0"/>
          <w:color w:val="444444"/>
          <w:sz w:val="20"/>
        </w:rPr>
        <w:t xml:space="preserve"> routed a gold-and-silver mining tax to education; 28–14 and 16–5.</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SB503 (2023) and SB500 (2025):</w:t>
      </w:r>
      <w:r>
        <w:rPr>
          <w:rFonts w:ascii="Arial" w:hAnsi="Arial" w:cs="Arial" w:eastAsia="Arial"/>
          <w:b w:val="0"/>
          <w:color w:val="444444"/>
          <w:sz w:val="20"/>
        </w:rPr>
        <w:t xml:space="preserve"> the two-year budget acts that fund it.</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AB459 (2023):</w:t>
      </w:r>
      <w:r>
        <w:rPr>
          <w:rFonts w:ascii="Arial" w:hAnsi="Arial" w:cs="Arial" w:eastAsia="Arial"/>
          <w:b w:val="0"/>
          <w:color w:val="444444"/>
          <w:sz w:val="20"/>
        </w:rPr>
        <w:t xml:space="preserve"> would have tied the education budget to inflation plus enrollment; died in Assembly Ways and Means.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Its 2025 successor:</w:t>
      </w:r>
      <w:r>
        <w:rPr>
          <w:rFonts w:ascii="Arial" w:hAnsi="Arial" w:cs="Arial" w:eastAsia="Arial"/>
          <w:b w:val="0"/>
          <w:color w:val="444444"/>
          <w:sz w:val="20"/>
        </w:rPr>
        <w:t xml:space="preserve"> died in Senate Finance — both without any vote.</w:t>
      </w:r>
    </w:p>
    <w:p>
      <w:pPr>
        <w:widowControl/>
        <w:spacing w:before="84" w:after="36" w:lineRule="auto" w:line="254"/>
      </w:pPr>
      <w:r>
        <w:rPr>
          <w:rFonts w:ascii="Arial" w:hAnsi="Arial" w:cs="Arial" w:eastAsia="Arial"/>
          <w:b/>
          <w:color w:val="C0392B"/>
          <w:sz w:val="25"/>
          <w:spacing w:val="20"/>
        </w:rPr>
        <w:t>CHRONIC ABSENTEEISM AND STUDENT SUPPORTS</w:t>
      </w:r>
    </w:p>
    <w:p>
      <w:pPr>
        <w:widowControl/>
        <w:spacing w:before="0" w:after="60" w:lineRule="auto" w:line="276"/>
      </w:pPr>
      <w:r>
        <w:rPr>
          <w:rFonts w:ascii="Arial" w:hAnsi="Arial" w:cs="Arial" w:eastAsia="Arial"/>
          <w:b w:val="0"/>
          <w:i/>
          <w:color w:val="666666"/>
          <w:sz w:val="20"/>
        </w:rPr>
        <w:t>Measurement bills pass one chamber and then stall; the supports framework is already half-built, and add-ons without funding die in committee.</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SB249 (2021):</w:t>
      </w:r>
      <w:r>
        <w:rPr>
          <w:rFonts w:ascii="Arial" w:hAnsi="Arial" w:cs="Arial" w:eastAsia="Arial"/>
          <w:b w:val="0"/>
          <w:color w:val="444444"/>
          <w:sz w:val="20"/>
        </w:rPr>
        <w:t xml:space="preserve"> excused behavioral-health absences and put crisis lines on pupil IDs.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AB264 (2023):</w:t>
      </w:r>
      <w:r>
        <w:rPr>
          <w:rFonts w:ascii="Arial" w:hAnsi="Arial" w:cs="Arial" w:eastAsia="Arial"/>
          <w:b w:val="0"/>
          <w:color w:val="444444"/>
          <w:sz w:val="20"/>
        </w:rPr>
        <w:t xml:space="preserve"> protected credit for religious-holiday absences.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SB319 (2019), SB151 (2021), SB277 (2025):</w:t>
      </w:r>
      <w:r>
        <w:rPr>
          <w:rFonts w:ascii="Arial" w:hAnsi="Arial" w:cs="Arial" w:eastAsia="Arial"/>
          <w:b w:val="0"/>
          <w:color w:val="444444"/>
          <w:sz w:val="20"/>
        </w:rPr>
        <w:t xml:space="preserve"> the counselor, psychologist, and social-worker staffing framework ("to the extent money is available").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AB168 (2019):</w:t>
      </w:r>
      <w:r>
        <w:rPr>
          <w:rFonts w:ascii="Arial" w:hAnsi="Arial" w:cs="Arial" w:eastAsia="Arial"/>
          <w:b w:val="0"/>
          <w:color w:val="444444"/>
          <w:sz w:val="20"/>
        </w:rPr>
        <w:t xml:space="preserve"> restorative-discipline requirements.</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AB339 (2023) and AB391 (2025):</w:t>
      </w:r>
      <w:r>
        <w:rPr>
          <w:rFonts w:ascii="Arial" w:hAnsi="Arial" w:cs="Arial" w:eastAsia="Arial"/>
          <w:b w:val="0"/>
          <w:color w:val="444444"/>
          <w:sz w:val="20"/>
        </w:rPr>
        <w:t xml:space="preserve"> accountability reporting on chronically absent pupils (Assemblymember Brittney Miller, D); both passed the Assembly and died in the Senate.</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SB79 (2019):</w:t>
      </w:r>
      <w:r>
        <w:rPr>
          <w:rFonts w:ascii="Arial" w:hAnsi="Arial" w:cs="Arial" w:eastAsia="Arial"/>
          <w:b w:val="0"/>
          <w:color w:val="444444"/>
          <w:sz w:val="20"/>
        </w:rPr>
        <w:t xml:space="preserve"> a statewide chronic-absenteeism policy; never left Senate Education.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AB531 (2025):</w:t>
      </w:r>
      <w:r>
        <w:rPr>
          <w:rFonts w:ascii="Arial" w:hAnsi="Arial" w:cs="Arial" w:eastAsia="Arial"/>
          <w:b w:val="0"/>
          <w:color w:val="444444"/>
          <w:sz w:val="20"/>
        </w:rPr>
        <w:t xml:space="preserve"> a real-time attendance dashboard plus a metrics task force; died in Assembly Education.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Staffing add-ons without funding conditions routinely die in committee.</w:t>
      </w:r>
    </w:p>
    <w:p>
      <w:pPr>
        <w:widowControl/>
        <w:spacing w:before="84" w:after="36" w:lineRule="auto" w:line="254"/>
      </w:pPr>
      <w:r>
        <w:rPr>
          <w:rFonts w:ascii="Arial" w:hAnsi="Arial" w:cs="Arial" w:eastAsia="Arial"/>
          <w:b/>
          <w:color w:val="C0392B"/>
          <w:sz w:val="25"/>
          <w:spacing w:val="20"/>
        </w:rPr>
        <w:t>CAREER PATHWAYS AND HANDS-ON LEARNING</w:t>
      </w:r>
    </w:p>
    <w:p>
      <w:pPr>
        <w:widowControl/>
        <w:spacing w:before="0" w:after="60" w:lineRule="auto" w:line="276"/>
      </w:pPr>
      <w:r>
        <w:rPr>
          <w:rFonts w:ascii="Arial" w:hAnsi="Arial" w:cs="Arial" w:eastAsia="Arial"/>
          <w:b w:val="0"/>
          <w:i/>
          <w:color w:val="666666"/>
          <w:sz w:val="20"/>
        </w:rPr>
        <w:t>Large employer-network programs have never cleared a committee; school-side pathway bills have passed in every session since 2021.</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AB38 (2021):</w:t>
      </w:r>
      <w:r>
        <w:rPr>
          <w:rFonts w:ascii="Arial" w:hAnsi="Arial" w:cs="Arial" w:eastAsia="Arial"/>
          <w:b w:val="0"/>
          <w:color w:val="444444"/>
          <w:sz w:val="20"/>
        </w:rPr>
        <w:t xml:space="preserve"> streamlined career-and-technical-education advisory committees and work-based learning rules.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AB207 (2023):</w:t>
      </w:r>
      <w:r>
        <w:rPr>
          <w:rFonts w:ascii="Arial" w:hAnsi="Arial" w:cs="Arial" w:eastAsia="Arial"/>
          <w:b w:val="0"/>
          <w:color w:val="444444"/>
          <w:sz w:val="20"/>
        </w:rPr>
        <w:t xml:space="preserve"> let schools insure pupils in work-based learning.</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AB256 (2023):</w:t>
      </w:r>
      <w:r>
        <w:rPr>
          <w:rFonts w:ascii="Arial" w:hAnsi="Arial" w:cs="Arial" w:eastAsia="Arial"/>
          <w:b w:val="0"/>
          <w:color w:val="444444"/>
          <w:sz w:val="20"/>
        </w:rPr>
        <w:t xml:space="preserve"> streamlined program approvals.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AB241 (2023):</w:t>
      </w:r>
      <w:r>
        <w:rPr>
          <w:rFonts w:ascii="Arial" w:hAnsi="Arial" w:cs="Arial" w:eastAsia="Arial"/>
          <w:b w:val="0"/>
          <w:color w:val="444444"/>
          <w:sz w:val="20"/>
        </w:rPr>
        <w:t xml:space="preserve"> made the college-and-career-ready course load the default.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AB539 (2025):</w:t>
      </w:r>
      <w:r>
        <w:rPr>
          <w:rFonts w:ascii="Arial" w:hAnsi="Arial" w:cs="Arial" w:eastAsia="Arial"/>
          <w:b w:val="0"/>
          <w:color w:val="444444"/>
          <w:sz w:val="20"/>
        </w:rPr>
        <w:t xml:space="preserve"> authorized career coaches in the middle grades.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SB45 (2025):</w:t>
      </w:r>
      <w:r>
        <w:rPr>
          <w:rFonts w:ascii="Arial" w:hAnsi="Arial" w:cs="Arial" w:eastAsia="Arial"/>
          <w:b w:val="0"/>
          <w:color w:val="444444"/>
          <w:sz w:val="20"/>
        </w:rPr>
        <w:t xml:space="preserve"> refocused career-and-technical-education grants on advanced courses.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AB274 (2023):</w:t>
      </w:r>
      <w:r>
        <w:rPr>
          <w:rFonts w:ascii="Arial" w:hAnsi="Arial" w:cs="Arial" w:eastAsia="Arial"/>
          <w:b w:val="0"/>
          <w:color w:val="444444"/>
          <w:sz w:val="20"/>
        </w:rPr>
        <w:t xml:space="preserve"> the financial-literacy graduation credit; 40–0 and 20–0.</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AB318, AB359, AB392 (2019):</w:t>
      </w:r>
      <w:r>
        <w:rPr>
          <w:rFonts w:ascii="Arial" w:hAnsi="Arial" w:cs="Arial" w:eastAsia="Arial"/>
          <w:b w:val="0"/>
          <w:color w:val="444444"/>
          <w:sz w:val="20"/>
        </w:rPr>
        <w:t xml:space="preserve"> the work-based-learning package (district policies, employer networks, insured placements); died in first committees.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AB199 (2019) and AB208 (2021):</w:t>
      </w:r>
      <w:r>
        <w:rPr>
          <w:rFonts w:ascii="Arial" w:hAnsi="Arial" w:cs="Arial" w:eastAsia="Arial"/>
          <w:b w:val="0"/>
          <w:color w:val="444444"/>
          <w:sz w:val="20"/>
        </w:rPr>
        <w:t xml:space="preserve"> let unions and trade groups help teach career-and-technical courses; died in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SB220, SB226, SB265 (2021):</w:t>
      </w:r>
      <w:r>
        <w:rPr>
          <w:rFonts w:ascii="Arial" w:hAnsi="Arial" w:cs="Arial" w:eastAsia="Arial"/>
          <w:b w:val="0"/>
          <w:color w:val="444444"/>
          <w:sz w:val="20"/>
        </w:rPr>
        <w:t xml:space="preserve"> steered career-technical education toward high-need industries (Senator Scott Hammond, R, since departed); died in committee.</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v4.0; proposals from the working-group rubric</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K-12 Education Policy Spotlights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