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Rule="auto" w:line="254"/>
      </w:pPr>
      <w:r>
        <w:rPr>
          <w:rFonts w:ascii="Arial" w:hAnsi="Arial" w:cs="Arial" w:eastAsia="Arial"/>
          <w:b/>
          <w:color w:val="1A2D4F"/>
          <w:sz w:val="20"/>
          <w:spacing w:val="20"/>
        </w:rPr>
        <w:t>T H E   F O R U M</w:t>
      </w:r>
    </w:p>
    <w:p>
      <w:pPr>
        <w:widowControl/>
        <w:spacing w:before="0" w:after="120" w:lineRule="auto" w:line="254"/>
        <w:pBdr>
          <w:bottom w:val="single" w:sz="20" w:space="2" w:color="1A2D4F"/>
        </w:pBdr>
      </w:pPr>
    </w:p>
    <w:p>
      <w:pPr>
        <w:widowControl/>
        <w:spacing w:before="0" w:after="40" w:lineRule="auto" w:line="252"/>
      </w:pPr>
      <w:r>
        <w:rPr>
          <w:rFonts w:ascii="Arial" w:hAnsi="Arial" w:cs="Arial" w:eastAsia="Arial"/>
          <w:b/>
          <w:color w:val="1A2D4F"/>
          <w:sz w:val="36"/>
        </w:rPr>
        <w:t>Proposal Spotlights — Housing Brief</w:t>
      </w:r>
    </w:p>
    <w:p>
      <w:pPr>
        <w:widowControl/>
        <w:spacing w:before="0" w:after="120" w:lineRule="auto" w:line="254"/>
      </w:pPr>
      <w:r>
        <w:rPr>
          <w:rFonts w:ascii="Arial" w:hAnsi="Arial" w:cs="Arial" w:eastAsia="Arial"/>
          <w:b w:val="0"/>
          <w:color w:val="444444"/>
          <w:sz w:val="20"/>
        </w:rPr>
        <w:t>A close look at the legislative record behind each proposal the working group short-listed, with committee paths, party breakdowns, and sponsor detail beyond what the citizen brief (v3.0) carries.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LIMITING CORPORATE OWNERSHIP OF HOUSING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Working-group proposal: limit corporate and institutional ownership of housing.</w:t>
      </w:r>
    </w:p>
    <w:p>
      <w:pPr>
        <w:keepLines/>
        <w:widowControl/>
        <w:spacing w:before="0" w:after="100" w:lineRule="auto" w:line="276"/>
      </w:pPr>
      <w:r>
        <w:rPr>
          <w:rFonts w:ascii="Arial" w:hAnsi="Arial" w:cs="Arial" w:eastAsia="Arial"/>
          <w:b/>
          <w:color w:val="1A2D4F"/>
          <w:sz w:val="20"/>
        </w:rPr>
        <w:t>Support has grown every time it was tested — and the two-thirds rule, not the cap, decided the last vote.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SB395 (2023), a 1,000-home annual cap, passed 14–6 (one Republican joining) and 28–14, and was vetoed; SB391 (2025), a 100-home cap, passed the Senate 13–8 and died in the Assembly. In the November 2025 special session, SB10 — the cap plus an investor registry — passed the Senate 18–0, every senator of both parties, and won the Assembly 27–10; its registry fees made it a revenue measure needing 28 votes. A fee-free cap would need only a majority — and the desk. AB457's corporate-landlord tax study reports for 2027, and Senator Dina Neal (D), the design's carrier, still serves.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ZONING REFORM AND SMALLER, DENSER HOMES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Working-group proposal: increase housing supply, reform zoning, and build more, smaller, denser homes.</w:t>
      </w:r>
    </w:p>
    <w:p>
      <w:pPr>
        <w:keepLines/>
        <w:widowControl/>
        <w:spacing w:before="0" w:after="100" w:lineRule="auto" w:line="276"/>
      </w:pPr>
      <w:r>
        <w:rPr>
          <w:rFonts w:ascii="Arial" w:hAnsi="Arial" w:cs="Arial" w:eastAsia="Arial"/>
          <w:b/>
          <w:color w:val="1A2D4F"/>
          <w:sz w:val="20"/>
        </w:rPr>
        <w:t>Mandates passed on party lines; codes passed across the aisle; incentives are untested.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2025 mandates became law narrowly — AB396 (accessory dwelling units) 27–15 and 14–7, AB241 (apartments by right on commercial land) 28–14 and 15–6, one Republican vote in most chambers — while the code route drew both parties: AB38 (2025) rewrote the factory-built housing code 40–2 and 17–3, and SB150 (2021) legalized tiny houses in some zones. The incentive side, SB430 (2025) — tax credits for at-cost starter homes with investor-resale protections — died in Senate Revenue without a vote; no committee has yet voted on a small-home incentive.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AFFORDABLE-HOUSING SHARES AND IN-LIEU FUNDS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Working-group proposal: require developers to build a share of affordable housing or pay into a fund.</w:t>
      </w:r>
    </w:p>
    <w:p>
      <w:pPr>
        <w:keepLines/>
        <w:widowControl/>
        <w:spacing w:before="0" w:after="100" w:lineRule="auto" w:line="276"/>
      </w:pPr>
      <w:r>
        <w:rPr>
          <w:rFonts w:ascii="Arial" w:hAnsi="Arial" w:cs="Arial" w:eastAsia="Arial"/>
          <w:b/>
          <w:color w:val="1A2D4F"/>
          <w:sz w:val="20"/>
        </w:rPr>
        <w:t>The requirement itself has never been filed; every adjacent fight stopped at Government Affairs or the desk.</w:t>
      </w:r>
      <w:r>
        <w:rPr>
          <w:rFonts w:ascii="Arial" w:hAnsi="Arial" w:cs="Arial" w:eastAsia="Arial"/>
          <w:b w:val="0"/>
          <w:color w:val="444444"/>
          <w:sz w:val="20"/>
        </w:rPr>
        <w:t xml:space="preserve"> Local authority to impose such conditions passed both chambers (SB371, 2023, 12–9 and 26–14) and was vetoed; the 2025 retry, SB289, died in Senate Government Affairs. The fund version reached the desk as SB99 (2025), the metro linkage fee, 14–6 and 27–15 — delivered May 27, 2025, then no signature, no chapter. In-lieu funds (AB331, AB334, 2021) and school impact fees (SB471, 2019) died in Government Affairs. The one enacted bill runs the other way: SB103 (2019) lets local governments reduce fees for affordable projects.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DOWN-PAYMENT HELP FOR FIRST-TIME BUYERS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Working-group proposal: down-payment assistance and first-time buyer incentives.</w:t>
      </w:r>
    </w:p>
    <w:p>
      <w:pPr>
        <w:keepLines/>
        <w:widowControl/>
        <w:spacing w:before="0" w:after="100" w:lineRule="auto" w:line="276"/>
      </w:pPr>
      <w:r>
        <w:rPr>
          <w:rFonts w:ascii="Arial" w:hAnsi="Arial" w:cs="Arial" w:eastAsia="Arial"/>
          <w:b/>
          <w:color w:val="1A2D4F"/>
          <w:sz w:val="20"/>
        </w:rPr>
        <w:t>The housing lane with real cross-party Senate support — and an Assembly that has not voted on it.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SB193 (2025), the state rate buy-down pilot for first-home borrowers, passed the Senate 14–5 with three Republicans and died in the Assembly without a vote. The enacted precedent, SB188 (2021), created donor-matched savings accounts toward a first home after the same idea failed in 2019. Standing buyer programs run through the Housing Division's bond authority, not statute; federally, FHA and VA loans lower down-payment barriers while proposed federal down-payment credits remain unenacted — a state program supplements rather than duplicates.</w:t>
      </w:r>
    </w:p>
    <w:p>
      <w:pPr>
        <w:widowControl/>
        <w:spacing w:before="40" w:after="0" w:lineRule="auto" w:line="254"/>
        <w:pBdr>
          <w:top w:val="single" w:sz="6" w:space="4" w:color="C8CDD6"/>
        </w:pBdr>
      </w:pPr>
      <w:r>
        <w:rPr>
          <w:rFonts w:ascii="Arial" w:hAnsi="Arial" w:cs="Arial" w:eastAsia="Arial"/>
          <w:b w:val="0"/>
          <w:color w:val="666666"/>
          <w:sz w:val="20"/>
          <w:spacing w:val="4"/>
        </w:rPr>
        <w:t>Companion to the citizen brief v3.0; proposals from the working-group rubric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