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Housing Affordability in New Hampshire</w:t>
      </w:r>
    </w:p>
    <w:p>
      <w:pPr>
        <w:widowControl/>
        <w:spacing w:before="0" w:after="120" w:lineRule="auto" w:line="254"/>
      </w:pPr>
      <w:r>
        <w:rPr>
          <w:rFonts w:ascii="Arial" w:hAnsi="Arial" w:cs="Arial" w:eastAsia="Arial"/>
          <w:b w:val="0"/>
          <w:color w:val="444444"/>
          <w:sz w:val="20"/>
        </w:rPr>
        <w:t>The legislative record behind New Hampshire's housing debate, 2020–2026.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New Hampshire's General Court took up 158 housing bills across the 2020–2026 sessions in this record; 48 became law, two of them by riding the state budget. The record splits sharply by subject. Bills that let more homes be built — in commercial zones, as accessory dwelling units, as manufactured and tiny homes — began passing in 2024 with the HB1400 housing omnibus and accelerated through 2025–2026, usually on cross-party votes. Bills that touch the cost of renting — fee limits, rent registries, voucher protections, notice requirements — died in the House in every session. The money runs on a third track: standalone housing-funding bills almost always die, several after unanimous Senate votes, while the same dollars pass every two years inside HB2, the budget trailer. The 2025–2026 biennium produced 101 of the 158 bills and 22 of the 48 new laws — and also 67 kills and 11 interim studies.</w:t>
      </w:r>
    </w:p>
    <w:p>
      <w:pPr>
        <w:widowControl/>
        <w:spacing w:before="84" w:after="36" w:lineRule="auto" w:line="254"/>
      </w:pPr>
      <w:r>
        <w:rPr>
          <w:rFonts w:ascii="Arial" w:hAnsi="Arial" w:cs="Arial" w:eastAsia="Arial"/>
          <w:b/>
          <w:color w:val="C0392B"/>
          <w:sz w:val="25"/>
          <w:spacing w:val="20"/>
        </w:rPr>
        <w:t>KEY NUMBERS</w:t>
      </w:r>
    </w:p>
    <w:tbl>
      <w:tblPr>
        <w:tblW w:type="auto" w:w="0"/>
        <w:jc w:val="center"/>
        <w:tblLayout w:type="autofit"/>
        <w:tblLook w:firstColumn="1" w:firstRow="1" w:lastColumn="0" w:lastRow="0" w:noHBand="0" w:noVBand="1" w:val="04A0"/>
      </w:tblPr>
      <w:tblGrid>
        <w:gridCol w:w="2102"/>
        <w:gridCol w:w="2102"/>
        <w:gridCol w:w="2102"/>
        <w:gridCol w:w="2102"/>
        <w:gridCol w:w="2102"/>
      </w:tblGrid>
      <w:tr>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158</w:t>
            </w:r>
          </w:p>
          <w:p>
            <w:pPr>
              <w:spacing w:after="0" w:line="240" w:lineRule="auto"/>
            </w:pPr>
            <w:r>
              <w:rPr>
                <w:rFonts w:ascii="Arial" w:hAnsi="Arial" w:cs="Arial" w:eastAsia="Arial"/>
                <w:b w:val="0"/>
                <w:color w:val="666666"/>
                <w:sz w:val="20"/>
              </w:rPr>
              <w:t>housing bills, 2020–2026</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48</w:t>
            </w:r>
          </w:p>
          <w:p>
            <w:pPr>
              <w:spacing w:after="0" w:line="240" w:lineRule="auto"/>
            </w:pPr>
            <w:r>
              <w:rPr>
                <w:rFonts w:ascii="Arial" w:hAnsi="Arial" w:cs="Arial" w:eastAsia="Arial"/>
                <w:b w:val="0"/>
                <w:color w:val="666666"/>
                <w:sz w:val="20"/>
              </w:rPr>
              <w:t>became law — 22 of them in the 2025–2026 biennium</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1 vote</w:t>
            </w:r>
          </w:p>
          <w:p>
            <w:pPr>
              <w:spacing w:after="0" w:line="240" w:lineRule="auto"/>
            </w:pPr>
            <w:r>
              <w:rPr>
                <w:rFonts w:ascii="Arial" w:hAnsi="Arial" w:cs="Arial" w:eastAsia="Arial"/>
                <w:b w:val="0"/>
                <w:color w:val="666666"/>
                <w:sz w:val="20"/>
              </w:rPr>
              <w:t>the margin by which the House passed the 2025 budget trailer (184–183) carrying the biggest housing programs</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3 of 3</w:t>
            </w:r>
          </w:p>
          <w:p>
            <w:pPr>
              <w:spacing w:after="0" w:line="240" w:lineRule="auto"/>
            </w:pPr>
            <w:r>
              <w:rPr>
                <w:rFonts w:ascii="Arial" w:hAnsi="Arial" w:cs="Arial" w:eastAsia="Arial"/>
                <w:b w:val="0"/>
                <w:color w:val="666666"/>
                <w:sz w:val="20"/>
              </w:rPr>
              <w:t>attempts to ban housing-voucher discrimination died in the House</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23</w:t>
            </w:r>
          </w:p>
          <w:p>
            <w:pPr>
              <w:spacing w:after="0" w:line="240" w:lineRule="auto"/>
            </w:pPr>
            <w:r>
              <w:rPr>
                <w:rFonts w:ascii="Arial" w:hAnsi="Arial" w:cs="Arial" w:eastAsia="Arial"/>
                <w:b w:val="0"/>
                <w:color w:val="666666"/>
                <w:sz w:val="20"/>
              </w:rPr>
              <w:t>core housing sections enacted inside the last three budget trailers (HB2)</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BUDGET BILL (HB2)</w:t>
      </w:r>
    </w:p>
    <w:p>
      <w:pPr>
        <w:widowControl/>
        <w:spacing w:before="0" w:after="49" w:lineRule="auto" w:line="247"/>
        <w:jc w:val="both"/>
      </w:pPr>
      <w:r>
        <w:rPr>
          <w:rFonts w:ascii="Arial" w:hAnsi="Arial" w:cs="Arial" w:eastAsia="Arial"/>
          <w:b w:val="0"/>
          <w:color w:val="444444"/>
          <w:sz w:val="20"/>
        </w:rPr>
        <w:t>Much of New Hampshire's housing law is made inside HB2, the omnibus policy bill that rides with each two-year budget. The last three trailers carried 23 core housing sections: $25 million for the Affordable Housing Fund in 2021 and again in 2023; $10 million for InvestNH and the Housing Champion programs (2023); Partners in Housing for workforce homes on public land (2025); $10 million in shelter funding in 2023 and $5 million a year of opioid-settlement shelter money in 2025. HB2 2023 also repealed the Board of Manufactured Housing, and HB2 2025 cut the Housing Appeals Board from three members to two serving at the Governor and Council's pleasure. Votes on HB2 are on the whole trailer — never on a single section.</w:t>
      </w:r>
    </w:p>
    <w:p>
      <w:pPr>
        <w:widowControl/>
        <w:spacing w:before="84" w:after="36" w:lineRule="auto" w:line="254"/>
      </w:pPr>
      <w:r>
        <w:rPr>
          <w:rFonts w:ascii="Arial" w:hAnsi="Arial" w:cs="Arial" w:eastAsia="Arial"/>
          <w:b/>
          <w:color w:val="C0392B"/>
          <w:sz w:val="25"/>
          <w:spacing w:val="20"/>
        </w:rPr>
        <w:t>WHERE NEW LAW EXISTS</w:t>
      </w:r>
    </w:p>
    <w:p>
      <w:pPr>
        <w:widowControl/>
        <w:spacing w:before="0" w:after="49" w:lineRule="auto" w:line="247"/>
        <w:jc w:val="both"/>
      </w:pPr>
      <w:r>
        <w:rPr>
          <w:rFonts w:ascii="Arial" w:hAnsi="Arial" w:cs="Arial" w:eastAsia="Arial"/>
          <w:b/>
          <w:color w:val="1A2D4F"/>
          <w:sz w:val="20"/>
        </w:rPr>
        <w:t>Homes on commercial land, and easier development rules.</w:t>
      </w:r>
      <w:r>
        <w:rPr>
          <w:rFonts w:ascii="Arial" w:hAnsi="Arial" w:cs="Arial" w:eastAsia="Arial"/>
          <w:b w:val="0"/>
          <w:color w:val="444444"/>
          <w:sz w:val="20"/>
        </w:rPr>
        <w:t xml:space="preserve"> The turn came in 2024: HB1400 created tax incentives for converting offices to homes, capped local parking mandates, required boards to accept alternative parking, and let towns fast-track zoning amendments, clearing its conference report 205–149. HB631 (2025) then legalized residential building in commercial zoning — the House rejected a motion to kill it 128–211 — and HB1010 and HB1588 (2026) extended multifamily development on commercial land with housing-infrastructure grant money. The groundwork was earlier: planning and land-use omnibus laws in 2021 and 2022 (SB86, HB1661) and community-revitalization tax relief for housing (SB102, 2021). The most aggressive density versions (SB90, HB1065 of 2026) still died.</w:t>
      </w:r>
    </w:p>
    <w:p>
      <w:pPr>
        <w:widowControl/>
        <w:spacing w:before="0" w:after="49" w:lineRule="auto" w:line="247"/>
        <w:jc w:val="both"/>
      </w:pPr>
      <w:r>
        <w:rPr>
          <w:rFonts w:ascii="Arial" w:hAnsi="Arial" w:cs="Arial" w:eastAsia="Arial"/>
          <w:b/>
          <w:color w:val="1A2D4F"/>
          <w:sz w:val="20"/>
        </w:rPr>
        <w:t>Accessory dwelling units, narrowly.</w:t>
      </w:r>
      <w:r>
        <w:rPr>
          <w:rFonts w:ascii="Arial" w:hAnsi="Arial" w:cs="Arial" w:eastAsia="Arial"/>
          <w:b w:val="0"/>
          <w:color w:val="444444"/>
          <w:sz w:val="20"/>
        </w:rPr>
        <w:t xml:space="preserve"> HB577 (2025) broadened the ADU definition to include detached units and became law; HB1079 (2026) let ADUs go into non-conforming structures. A 2026 attempt to repeal the ADU statutes (HB1012) died. The financing side has not passed: ADU loan guarantees (HB1662, 2026) died and loan forgiveness (HB604, 2026) sits in interim study.</w:t>
      </w:r>
    </w:p>
    <w:p>
      <w:pPr>
        <w:widowControl/>
        <w:spacing w:before="0" w:after="49" w:lineRule="auto" w:line="247"/>
        <w:jc w:val="both"/>
      </w:pPr>
      <w:r>
        <w:rPr>
          <w:rFonts w:ascii="Arial" w:hAnsi="Arial" w:cs="Arial" w:eastAsia="Arial"/>
          <w:b/>
          <w:color w:val="1A2D4F"/>
          <w:sz w:val="20"/>
        </w:rPr>
        <w:t>Manufactured and tiny homes.</w:t>
      </w:r>
      <w:r>
        <w:rPr>
          <w:rFonts w:ascii="Arial" w:hAnsi="Arial" w:cs="Arial" w:eastAsia="Arial"/>
          <w:b w:val="0"/>
          <w:color w:val="444444"/>
          <w:sz w:val="20"/>
        </w:rPr>
        <w:t xml:space="preserve"> HB1361 (2024) requires municipalities to provide realistic opportunities for manufactured housing; SB166 (2025) added sale notice in resident-owned communities; HB1681 (2026) legalized tiny houses and yurts, 242–102 on concurrence.</w:t>
      </w:r>
    </w:p>
    <w:p>
      <w:pPr>
        <w:widowControl/>
        <w:spacing w:before="0" w:after="49" w:lineRule="auto" w:line="247"/>
        <w:jc w:val="both"/>
      </w:pPr>
      <w:r>
        <w:rPr>
          <w:rFonts w:ascii="Arial" w:hAnsi="Arial" w:cs="Arial" w:eastAsia="Arial"/>
          <w:b/>
          <w:color w:val="1A2D4F"/>
          <w:sz w:val="20"/>
        </w:rPr>
        <w:t>Shelter money, once.</w:t>
      </w:r>
      <w:r>
        <w:rPr>
          <w:rFonts w:ascii="Arial" w:hAnsi="Arial" w:cs="Arial" w:eastAsia="Arial"/>
          <w:b w:val="0"/>
          <w:color w:val="444444"/>
          <w:sz w:val="20"/>
        </w:rPr>
        <w:t xml:space="preserve"> SB406 (2024) put $2.5 million into shelter program rates — the record's only standalone shelter appropriation to pass; the rest moved through HB2.</w:t>
      </w:r>
    </w:p>
    <w:p>
      <w:pPr>
        <w:widowControl/>
        <w:spacing w:before="0" w:after="49" w:lineRule="auto" w:line="247"/>
        <w:jc w:val="both"/>
      </w:pPr>
      <w:r>
        <w:rPr>
          <w:rFonts w:ascii="Arial" w:hAnsi="Arial" w:cs="Arial" w:eastAsia="Arial"/>
          <w:b/>
          <w:color w:val="1A2D4F"/>
          <w:sz w:val="20"/>
        </w:rPr>
        <w:t>Eviction process, not eviction protections.</w:t>
      </w:r>
      <w:r>
        <w:rPr>
          <w:rFonts w:ascii="Arial" w:hAnsi="Arial" w:cs="Arial" w:eastAsia="Arial"/>
          <w:b w:val="0"/>
          <w:color w:val="444444"/>
          <w:sz w:val="20"/>
        </w:rPr>
        <w:t xml:space="preserve"> SB126 (2021) rewrote landlord-tenant court proceedings and passed the Senate 24–0; HB1598 (2026) updated eviction notices and hearings. Both are procedural.</w:t>
      </w:r>
    </w:p>
    <w:p>
      <w:pPr>
        <w:widowControl/>
        <w:spacing w:before="0" w:after="49" w:lineRule="auto" w:line="247"/>
        <w:jc w:val="both"/>
      </w:pPr>
      <w:r>
        <w:rPr>
          <w:rFonts w:ascii="Arial" w:hAnsi="Arial" w:cs="Arial" w:eastAsia="Arial"/>
          <w:b/>
          <w:color w:val="1A2D4F"/>
          <w:sz w:val="20"/>
        </w:rPr>
        <w:t>Boards and appeals.</w:t>
      </w:r>
      <w:r>
        <w:rPr>
          <w:rFonts w:ascii="Arial" w:hAnsi="Arial" w:cs="Arial" w:eastAsia="Arial"/>
          <w:b w:val="0"/>
          <w:color w:val="444444"/>
          <w:sz w:val="20"/>
        </w:rPr>
        <w:t xml:space="preserve"> The Housing Appeals Board survived two 2020 repeal-or-replace bills (SB721, SB735). HB92 (2025) added recusal rules for land-board members; HB1359 (2024) settled who counts as an "abutter" able to appeal. Board-training bills died in 2020, 2021, 2022, and 2026.</w:t>
      </w:r>
    </w:p>
    <w:p>
      <w:pPr>
        <w:widowControl/>
        <w:spacing w:before="84" w:after="36" w:lineRule="auto" w:line="254"/>
      </w:pPr>
      <w:r>
        <w:rPr>
          <w:rFonts w:ascii="Arial" w:hAnsi="Arial" w:cs="Arial" w:eastAsia="Arial"/>
          <w:b/>
          <w:color w:val="C0392B"/>
          <w:sz w:val="25"/>
          <w:spacing w:val="20"/>
        </w:rPr>
        <w:t>IDEAS THAT REACHED THE LEGISLATURE AND STALLED</w:t>
      </w:r>
    </w:p>
    <w:p>
      <w:pPr>
        <w:widowControl/>
        <w:spacing w:before="0" w:after="49" w:lineRule="auto" w:line="247"/>
        <w:jc w:val="both"/>
      </w:pPr>
      <w:r>
        <w:rPr>
          <w:rFonts w:ascii="Arial" w:hAnsi="Arial" w:cs="Arial" w:eastAsia="Arial"/>
          <w:b/>
          <w:color w:val="1A2D4F"/>
          <w:sz w:val="20"/>
        </w:rPr>
        <w:t>The statewide ADU mandate — and its milder cousin.</w:t>
      </w:r>
      <w:r>
        <w:rPr>
          <w:rFonts w:ascii="Arial" w:hAnsi="Arial" w:cs="Arial" w:eastAsia="Arial"/>
          <w:b w:val="0"/>
          <w:color w:val="444444"/>
          <w:sz w:val="20"/>
        </w:rPr>
        <w:t xml:space="preserve"> HB1291 (2024) — two ADUs per lot by right — passed the House 220–143, with 150 Democrats and 67 Republicans in favor, and the Senate indefinitely postponed it by voice vote after a rescue amendment failed 8–16; the narrower 2025–2026 ADU laws are what survived of it. HB1399 (2024), merely letting towns permit two units in certain single-family zones, passed the House 220–140 and was parked in Senate interim study.</w:t>
      </w:r>
    </w:p>
    <w:p>
      <w:pPr>
        <w:widowControl/>
        <w:spacing w:before="0" w:after="49" w:lineRule="auto" w:line="247"/>
        <w:jc w:val="both"/>
      </w:pPr>
      <w:r>
        <w:rPr>
          <w:rFonts w:ascii="Arial" w:hAnsi="Arial" w:cs="Arial" w:eastAsia="Arial"/>
          <w:b/>
          <w:color w:val="1A2D4F"/>
          <w:sz w:val="20"/>
        </w:rPr>
        <w:t>Zoning-procedure reform.</w:t>
      </w:r>
      <w:r>
        <w:rPr>
          <w:rFonts w:ascii="Arial" w:hAnsi="Arial" w:cs="Arial" w:eastAsia="Arial"/>
          <w:b w:val="0"/>
          <w:color w:val="444444"/>
          <w:sz w:val="20"/>
        </w:rPr>
        <w:t xml:space="preserve"> Three tries, three stops: SB538 (2024) passed the Senate and was killed on the House floor 188–173; SB84 (2025) passed the Senate 13–10, was carried across the biennium, and ended in interim study; the House versions (HB1008, HB1713, 2026) died at home.</w:t>
      </w:r>
    </w:p>
    <w:p>
      <w:pPr>
        <w:widowControl/>
        <w:spacing w:before="0" w:after="49" w:lineRule="auto" w:line="247"/>
        <w:jc w:val="both"/>
      </w:pPr>
      <w:r>
        <w:rPr>
          <w:rFonts w:ascii="Arial" w:hAnsi="Arial" w:cs="Arial" w:eastAsia="Arial"/>
          <w:b/>
          <w:color w:val="1A2D4F"/>
          <w:sz w:val="20"/>
        </w:rPr>
        <w:t>Standalone housing money.</w:t>
      </w:r>
      <w:r>
        <w:rPr>
          <w:rFonts w:ascii="Arial" w:hAnsi="Arial" w:cs="Arial" w:eastAsia="Arial"/>
          <w:b w:val="0"/>
          <w:color w:val="444444"/>
          <w:sz w:val="20"/>
        </w:rPr>
        <w:t xml:space="preserve"> SB152 (2021) — $10 million for the Affordable Housing Fund — passed the Senate 24–0 and the House killed it; the money rode the budget instead, as did SB231's 2023 housing appropriations. SB454 (2024), doubling the transfer-tax stream to the fund, passed the Senate unanimously and was tabled by the House 180–176 on a division vote, with no roll call recorded. The 2025 retries (HB530, SB81) died at the Senate's own deadline; SB419 (2026) went to interim study; new dedicated taxes (HB1786, HB1707) never got off the House table.</w:t>
      </w:r>
    </w:p>
    <w:p>
      <w:pPr>
        <w:widowControl/>
        <w:spacing w:before="0" w:after="49" w:lineRule="auto" w:line="247"/>
        <w:jc w:val="both"/>
      </w:pPr>
      <w:r>
        <w:rPr>
          <w:rFonts w:ascii="Arial" w:hAnsi="Arial" w:cs="Arial" w:eastAsia="Arial"/>
          <w:b/>
          <w:color w:val="1A2D4F"/>
          <w:sz w:val="20"/>
        </w:rPr>
        <w:t>Shelter funding, usually.</w:t>
      </w:r>
      <w:r>
        <w:rPr>
          <w:rFonts w:ascii="Arial" w:hAnsi="Arial" w:cs="Arial" w:eastAsia="Arial"/>
          <w:b w:val="0"/>
          <w:color w:val="444444"/>
          <w:sz w:val="20"/>
        </w:rPr>
        <w:t xml:space="preserve"> SB415 (2022) was tabled in the Senate 13–11; SB113 (2025) passed the Senate 23–0 and died at the Senate's internal deadline.</w:t>
      </w:r>
    </w:p>
    <w:p>
      <w:pPr>
        <w:widowControl/>
        <w:spacing w:before="0" w:after="49" w:lineRule="auto" w:line="247"/>
        <w:jc w:val="both"/>
      </w:pPr>
      <w:r>
        <w:rPr>
          <w:rFonts w:ascii="Arial" w:hAnsi="Arial" w:cs="Arial" w:eastAsia="Arial"/>
          <w:b/>
          <w:color w:val="1A2D4F"/>
          <w:sz w:val="20"/>
        </w:rPr>
        <w:t>A repeal, stopped.</w:t>
      </w:r>
      <w:r>
        <w:rPr>
          <w:rFonts w:ascii="Arial" w:hAnsi="Arial" w:cs="Arial" w:eastAsia="Arial"/>
          <w:b w:val="0"/>
          <w:color w:val="444444"/>
          <w:sz w:val="20"/>
        </w:rPr>
        <w:t xml:space="preserve"> HB1196 (2026) — repealing the Housing Champion program — passed the House 185–166 with Republicans in favor and every voting Democrat opposed; the Senate killed it, and the program survived.</w:t>
      </w:r>
    </w:p>
    <w:p>
      <w:pPr>
        <w:widowControl/>
        <w:spacing w:before="84" w:after="36" w:lineRule="auto" w:line="254"/>
      </w:pPr>
      <w:r>
        <w:rPr>
          <w:rFonts w:ascii="Arial" w:hAnsi="Arial" w:cs="Arial" w:eastAsia="Arial"/>
          <w:b/>
          <w:color w:val="C0392B"/>
          <w:sz w:val="25"/>
          <w:spacing w:val="20"/>
        </w:rPr>
        <w:t>IDEAS THAT HAVE NOT PASSED EITHER CHAMBER</w:t>
      </w:r>
    </w:p>
    <w:p>
      <w:pPr>
        <w:widowControl/>
        <w:spacing w:before="0" w:after="49" w:lineRule="auto" w:line="247"/>
        <w:jc w:val="both"/>
      </w:pPr>
      <w:r>
        <w:rPr>
          <w:rFonts w:ascii="Arial" w:hAnsi="Arial" w:cs="Arial" w:eastAsia="Arial"/>
          <w:b/>
          <w:color w:val="1A2D4F"/>
          <w:sz w:val="20"/>
        </w:rPr>
        <w:t>Statewide density mandates.</w:t>
      </w:r>
      <w:r>
        <w:rPr>
          <w:rFonts w:ascii="Arial" w:hAnsi="Arial" w:cs="Arial" w:eastAsia="Arial"/>
          <w:b w:val="0"/>
          <w:color w:val="444444"/>
          <w:sz w:val="20"/>
        </w:rPr>
        <w:t xml:space="preserve"> HB44 (2023) — four homes by right on any single-family lot with municipal water and sewer — failed on the House floor 117–232, with Republicans opposed roughly eight to one and Democrats split.</w:t>
      </w:r>
    </w:p>
    <w:p>
      <w:pPr>
        <w:widowControl/>
        <w:spacing w:before="0" w:after="49" w:lineRule="auto" w:line="247"/>
        <w:jc w:val="both"/>
      </w:pPr>
      <w:r>
        <w:rPr>
          <w:rFonts w:ascii="Arial" w:hAnsi="Arial" w:cs="Arial" w:eastAsia="Arial"/>
          <w:b/>
          <w:color w:val="1A2D4F"/>
          <w:sz w:val="20"/>
        </w:rPr>
        <w:t>Voucher protections.</w:t>
      </w:r>
      <w:r>
        <w:rPr>
          <w:rFonts w:ascii="Arial" w:hAnsi="Arial" w:cs="Arial" w:eastAsia="Arial"/>
          <w:b w:val="0"/>
          <w:color w:val="444444"/>
          <w:sz w:val="20"/>
        </w:rPr>
        <w:t xml:space="preserve"> Bills barring landlords from rejecting tenants with housing vouchers died in the House three times — HB1291 (2022, tabled 179–148), HB469 (2023), HB628 (2025).</w:t>
      </w:r>
    </w:p>
    <w:p>
      <w:pPr>
        <w:widowControl/>
        <w:spacing w:before="0" w:after="49" w:lineRule="auto" w:line="247"/>
        <w:jc w:val="both"/>
      </w:pPr>
      <w:r>
        <w:rPr>
          <w:rFonts w:ascii="Arial" w:hAnsi="Arial" w:cs="Arial" w:eastAsia="Arial"/>
          <w:b/>
          <w:color w:val="1A2D4F"/>
          <w:sz w:val="20"/>
        </w:rPr>
        <w:t>Rent costs and fees.</w:t>
      </w:r>
      <w:r>
        <w:rPr>
          <w:rFonts w:ascii="Arial" w:hAnsi="Arial" w:cs="Arial" w:eastAsia="Arial"/>
          <w:b w:val="0"/>
          <w:color w:val="444444"/>
          <w:sz w:val="20"/>
        </w:rPr>
        <w:t xml:space="preserve"> Municipal rental regulation (HB95, 2023) lost 301–63. Rent-increase notice (HB567, 2023), the rent registry and algorithm ban (HB558, 2025), application-fee limits (HB1371, HB1375), the price-fixing-software ban (HB1612), pet-fee rules (HB1553), and mold standards (HB1143, all 2026) died in the House. What passed instead is narrow — optional electronic rent payment (HB309, 2025) — and the one deposit bill that cleared both chambers ran the other way: HB1336 (2026), loosening the security-deposit cap, was vetoed, with the override pending this fall.</w:t>
      </w:r>
    </w:p>
    <w:p>
      <w:pPr>
        <w:widowControl/>
        <w:spacing w:before="0" w:after="49" w:lineRule="auto" w:line="247"/>
        <w:jc w:val="both"/>
      </w:pPr>
      <w:r>
        <w:rPr>
          <w:rFonts w:ascii="Arial" w:hAnsi="Arial" w:cs="Arial" w:eastAsia="Arial"/>
          <w:b/>
          <w:color w:val="1A2D4F"/>
          <w:sz w:val="20"/>
        </w:rPr>
        <w:t>Tenant notice before a sale.</w:t>
      </w:r>
      <w:r>
        <w:rPr>
          <w:rFonts w:ascii="Arial" w:hAnsi="Arial" w:cs="Arial" w:eastAsia="Arial"/>
          <w:b w:val="0"/>
          <w:color w:val="444444"/>
          <w:sz w:val="20"/>
        </w:rPr>
        <w:t xml:space="preserve"> Notice when a multifamily building changes hands died in 2023 (HB112, 175–199), and again in 2025 (HB444).</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Housing-supply coalitions in this record are cross-party and shift bill by bill: 42 policy bills carried sponsors from both parties, and the commercial-zone laws passed with mixed majorities. The 2021 zoning omnibus SB86 passed the House 208–167 with 196 Republicans in favor and 164 Democrats opposed; three years later the ADU mandate passed the House on the reverse coalition. Tenant-cost bills split on party lines and die on the House floor — the chamber's Inexpedient to Legislate motion is the single largest killer in the set, with 51 housing bills killed in 2026 alone. Some decisive outcomes left no roll call at all — SB454's tabling and HB1291's 2024 Senate death were unrecorded votes. Five 2025 Senate housing bills, several after unanimous votes, died at the Senate's Rule 3-23 deadline rather than on the merits. Since 2020 the Governor has vetoed three housing bills: the COVID eviction pause (HB1247, 2020, override failed 187–148), the manufactured-housing boards bill (SB318, 2024), and the deposit-cap exception (HB1336, 2026). Frequent carriers where sponsor records exist: Reps. Joe Alexander (R) and Ellen Read (D) and Sen. Keith Murphy (R) on seven, six, and five bills respectively.</w:t>
      </w:r>
    </w:p>
    <w:p>
      <w:pPr>
        <w:widowControl/>
        <w:spacing w:before="84" w:after="36" w:lineRule="auto" w:line="254"/>
      </w:pPr>
      <w:r>
        <w:rPr>
          <w:rFonts w:ascii="Arial" w:hAnsi="Arial" w:cs="Arial" w:eastAsia="Arial"/>
          <w:b/>
          <w:color w:val="C0392B"/>
          <w:sz w:val="25"/>
          <w:spacing w:val="20"/>
        </w:rPr>
        <w:t>NEW LAW FROM THE 2025–2026 BIENNIUM</w:t>
      </w:r>
    </w:p>
    <w:p>
      <w:pPr>
        <w:widowControl/>
        <w:spacing w:before="0" w:after="49" w:lineRule="auto" w:line="247"/>
        <w:jc w:val="both"/>
      </w:pPr>
      <w:r>
        <w:rPr>
          <w:rFonts w:ascii="Arial" w:hAnsi="Arial" w:cs="Arial" w:eastAsia="Arial"/>
          <w:b w:val="0"/>
          <w:color w:val="444444"/>
          <w:sz w:val="20"/>
        </w:rPr>
        <w:t>Twenty-two housing laws in two years. HB631, HB1010, and HB1588 opened commercial land to homes; HB577 and HB1079 widened ADU rights; HB457 limited local dwelling-unit restrictions; HB1681 legalized tiny houses. HB1598 updated eviction procedure; SB166 protected manufactured-home residents at sale; HB92 added recusal rules. HB1042 raised New Hampshire Housing's bonding cap; SB490 put vacant Great Bay Community College property to work for housing. The budget trailer carried the rest — Partners in Housing, Housing Champion extensions, opioid-fund shelter dollars, Medicaid supportive housing, and the Housing Appeals Board restructure — passed 184–183 in the House as one package.</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HB2 sections,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