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20" w:lineRule="auto" w:line="254"/>
      </w:pPr>
      <w:r>
        <w:rPr>
          <w:rFonts w:ascii="Arial" w:hAnsi="Arial" w:cs="Arial" w:eastAsia="Arial"/>
          <w:b/>
          <w:color w:val="1A2D4F"/>
          <w:sz w:val="20"/>
          <w:spacing w:val="20"/>
        </w:rPr>
        <w:t>T H E   F O R U M</w:t>
      </w:r>
    </w:p>
    <w:p>
      <w:pPr>
        <w:widowControl/>
        <w:spacing w:before="0" w:after="120" w:lineRule="auto" w:line="254"/>
        <w:pBdr>
          <w:bottom w:val="single" w:sz="20" w:space="2" w:color="1A2D4F"/>
        </w:pBdr>
      </w:pPr>
    </w:p>
    <w:p>
      <w:pPr>
        <w:widowControl/>
        <w:spacing w:before="0" w:after="40" w:lineRule="auto" w:line="252"/>
      </w:pPr>
      <w:r>
        <w:rPr>
          <w:rFonts w:ascii="Arial" w:hAnsi="Arial" w:cs="Arial" w:eastAsia="Arial"/>
          <w:b/>
          <w:color w:val="1A2D4F"/>
          <w:sz w:val="36"/>
        </w:rPr>
        <w:t>Policy Spotlights — Growth, Infrastructure, and Roads Brief</w:t>
      </w:r>
    </w:p>
    <w:p>
      <w:pPr>
        <w:widowControl/>
        <w:spacing w:before="0" w:after="120" w:lineRule="auto" w:line="254"/>
      </w:pPr>
      <w:r>
        <w:rPr>
          <w:rFonts w:ascii="Arial" w:hAnsi="Arial" w:cs="Arial" w:eastAsia="Arial"/>
          <w:b w:val="0"/>
          <w:color w:val="444444"/>
          <w:sz w:val="20"/>
        </w:rPr>
        <w:t>A focused, bill-by-bill look at how far each Phase 2 growth-and-roads proposal has traveled in the General Assembly, 2019–2026. Each proposal is sorted into the same viability groups the brief uses — already law, got support, stopped early, never filed — so the brief shows the overall terrain and these spotlights show one proposal at a time. Proposals are Forum process input from the Phase 2 Community Conversations, labeled [P-…].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NEW OR EXPANDED LOCAL FUNDING TOOLS [P-LOCAL-FUNDING-TOOLS]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Counties already have referendum-gated penny taxes; every bill to widen them for roads and transit died unheard, while a new preservation penny became law.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Already law (enacted in this record)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S152 (Act 166 of 2022):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County Green Space Sales Tax — a new voter-approved local penny for preserving green space; Senate 43–1 and 41–3, House 67–28.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S217 (Act 146 of 2020):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tourism (hospitality) tax revenue can fund control and repair of flooding and drainage in tourism areas; Senate 34–2, House 87–15.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S40 (Act 89 of 2021):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state rules for municipal restrictions and paid parking on state highways in beach communities, with directions for the parking money; Senate 44–0, House 102–10.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H4589 (Act 203 of 2026):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local-option education capital improvements penny opened to more counties; House 81–18 and 91–14, Senate 40–2.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Stopped early (died in first committee, no recorded vote)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Transportation penny for transit — filed every session: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S611 and H4389 (2019), H3535 and S437 (2021), S290 (2023) — defining "mass transit system" so penny revenue clearly funds transit; S562 and H4059 (2023) — adding ferries, greenbelts, and drainage to fundable projects; S979 (2026) — greenways, flood-prevention drainage, and ballot language to extend the tax; S594 (2019) — the funding-revisions version.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Penny mechanics: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H3129 (2021) — remove the rule blocking a capital-project penny from stacking on a transportation penny; S116 (2023) — let a renewed capital-project penny run eleven years instead of seven; H5188 and S1113 (2024) — exempt groceries from the transportation penny; S449 (2019) — let the capital-project penny fund economic-development infrastructure.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Penny purposes (workforce housing, green space, emergency services):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S298 and H3911 (2025–26), S1006 (2026), H5744 (2026).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Tolls: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S178 and H3739 (2019) — require SCDOT to toll I-95 at Lake Marion; S780 (2019) — require SCDOT to review every highway and bridge project for toll financing; S499 (2023) — the Lake Marion toll again; S674 (2023) — the Interstate 95 Bridge Toll Act, with toll booths at four bridges and resident relief.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Local fees: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S172 (2019) — a county-option one-cent-a-gallon gas fee for beach renourishment, by referendum; H3483 (2021) — local road-use fees kept in a separate audited account; H4597 (2019) — letting a county keep a pre-1997 hospitality fee (the family that funds Horry County road projects); S629 (2019) and the H3132/H4674 pair (2019–20) — more tourism-tax flexibility.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Green space follow-on: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S792 (2023) — letting a small share of green-space penny money fund conservation management.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MAKE DEVELOPERS PAY FOR GROWTH [P-DEVELOPER-PAYS-GROWTH]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Ten impact-fee bills in two directions; not one got a hearing. The lone enacted impact-fee rule blocked the fees — for schools, for one year.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Stopped early (died in first committee, no recorded vote)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Expanding the 1999 Development Impact Fee Act: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H4659 (2023) — allow fees on residential development only, or commercial only (today it is all-or-nothing); H5088 (2026) — add road resurfacing as a fundable cost and extend the spending window; H3460 (2021) and H4008 (2025) — a one-time developer fee per new unit funding a Gentrification Trust Fund to help longtime residents stay, with an exemption for projects with 15% low-income housing; H4943 (2022) — let pre-1999 fee programs pay down project debt.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Narrowing it (the building-industry direction):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H4981 and S856 (2023–24) — exclude repair, operation, maintenance, and administrative costs from what fees may cover; H5017 (2024) and H3165 (2025) — the same exclusions packaged with county-to-city development reports and annexation notices; H4672 (2025) — exempt buyers who owned a home in the same school district within fifteen years.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The one enacted impact-fee rule (a budget proviso, one year)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FY 2021-22 proviso 117.96:</w:t>
      </w:r>
      <w:r>
        <w:rPr>
          <w:rFonts w:ascii="Arial" w:hAnsi="Arial" w:cs="Arial" w:eastAsia="Arial"/>
          <w:b w:val="0"/>
          <w:color w:val="444444"/>
          <w:sz w:val="20"/>
        </w:rPr>
        <w:t xml:space="preserve"> barred impact fees on new elementary, middle, and secondary school construction, on pain of losing state aid. Not renewed in any later budget.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Never filed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 w:val="0"/>
          <w:color w:val="444444"/>
          <w:sz w:val="20"/>
        </w:rPr>
        <w:t>No proffer statute has ever been proposed; South Carolina law has no negotiated-contribution system.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PUBLIC TRANSIT, RAIL, AND MULTIMODAL OPTIONS [P-MULTIMODAL-TRANSPORT]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Zero hearings on every transit bill in four sessions. The only rail measure with floor votes moves freight — and died in Senate Finance twice.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Got support but didn't finish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H4817 (2022):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Shortline Railroad Modernization Act — a tax credit for half of small railroads' track reconstruction costs; passed the House 106–3, died in Senate Finance.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H3737 (2023):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same act refiled; passed the House 65–46, died in Senate Finance (Senate version S269 died in Finance without a vote).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Already law (edges of the lane)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S399 (Act 222 of 2026):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refusing to leave a public transit facility after a warning is a misdemeanor, with a warning-and-appeal process; Senate 44–0, House 107–0.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S304 (Act 46 of 2021):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EV-charging framework — when a charging-station host is not a utility, plus a joint legislative committee on transportation electrification; Senate 43–1, House 110–2.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Stopped early (died in first committee, no recorded vote)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Streets designed for everyone: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H3656 (2019) — a SCDOT "complete streets" policy for pedestrians, cyclists, and transit riders; H3051 (2021) — SCDOT's pre-project feasibility reviews would cover all roads and use measurable standards including dedicated bus lanes; H3654 (2019) — transit-access studies before public facilities are built.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Transit-oriented development: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H3655 (2019) and H4013 (2023) — counties and cities could create transit-oriented redevelopment agencies; H3828 (2019) — the Developer-Provided Transit Stop Act, incentives plus a tax credit for developers building bus stops and walkable paths near transit lines.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Rail studies and commissions: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S216 and H3189 (2019), H3937 (2021), H4122 (2025) — commuter/high-speed rail commissions tied to the Southeast High-Speed Rail Corridor; S730 (2019) — a study committee on connecting to Charlotte's mass transit; H5347 (2024) — SCDOT would study commuter rail alongside existing highways.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Rail infrastructure mechanics: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H4057 (2025) — standardized fees and a dispute process for utility lines crossing railroad property.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Never filed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 w:val="0"/>
          <w:color w:val="444444"/>
          <w:sz w:val="20"/>
        </w:rPr>
        <w:t>No bill in this record proposes state operating money for transit service; every filed design is local-option funding, studies, or incentives.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STATE OR REGIONAL PLANNING FOR GROWTH [P-STATE-MASTER-PLANNING]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No state- or regional-planning bill exists in this record. The fights are over state rules on local plans, concurrency, and annexation.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Already law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S259 (Act 163 of 2020):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Disaster Relief and Resilience Act — a state Office of Resilience, a statewide resilience plan, and a required resiliency element in every local comprehensive plan; Senate 44–1, House 65–35 (its House twin H4731 died in Judiciary).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H4262 (Act 179 of 2020):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Small Wireless Facilities Deployment Act — statewide rules for 5G small cells in rights of way, limiting local zoning control; 108–2, 32–6, 104–1.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Got support but didn't finish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S227 (filed 2025):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concurrency — local governments could tie development approval to infrastructure keeping pace; reported favorably, amended on the Senate floor April 29, 2026, died without completing passage. The furthest any growth-management bill traveled in this record.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S288 (filed 2025):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transferable development rights; favorable Judiciary report, died on the Senate calendar.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Stopped early (died in first committee, no recorded vote)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Concurrency predecessors and twins: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H5562 (2024), H4050 (2025).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Zoning-decision accountability: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H4390 (2025) — the Community Impact and Opportunity Assessment Act, requiring impact assessments (infrastructure, affordability, displacement) before major zoning decisions; S530 and H4293 (2025) — permits void when zoning officials find a use not permitted.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Annexation controls: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H5742 (2026) — a county could block municipal annexation until an infrastructure impact study and mitigation plan is approved; H4651 (2023) — the Annexation Fairness Act, county standing to challenge annexations; H5196 (2022), H3236 (2023), H4726 (2025) — cities could annex "donut holes" they surround.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The developer-side counter-current (loosening local control):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Home Attainability Act permitting packages (S528 and H3863 in 2021, S4 in 2023, S4 in 2025); 45-day permit shot clocks (H4652 in 2024, H3215 in 2025); housing-cost impact analyses for new ordinances (H4482 and S757, 2019); plat and subdivision definition changes (H4598 and S833, 2019); planning-appeal alignment (H4721, 2019); transferable development rights (H4996 in 2024, H4146 in 2026).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Never filed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 w:val="0"/>
          <w:color w:val="444444"/>
          <w:sz w:val="20"/>
        </w:rPr>
        <w:t>State-level or regional comprehensive planning replacing county plans — the design citizens described — has not been proposed by any bill in this record.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MAINTAIN EXISTING ROADS FIRST [P-FIX-ROADS-FIRST]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Every maintenance bill died in first committee. The fix-first money is real — in the annual budget.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Stopped early (died in first committee, no recorded vote)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H5363 (2026):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"Fix Our Roads Accountability Act" — a statewide pavement preservation program run through SCDOT's engineering districts, with annual reports.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H4610 (2023):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SCDOT must properly maintain roads transferred into the state highway system.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H3871 (2021) and H3451 (2023):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toll-free SCDOT hotline for motorists whose vehicles are damaged by potholes and road hazards.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H4687 (2025):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county sheriffs would report hazardous road segments to SCDOT, which must respond and keep a public database.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H3516 (2023):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conditions for counties to maintain private roads that are residents' only access.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H4971 (2026):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SCDOT would transfer certain roads to counties and the 25%-to-state-highways rule for county "C" funds would be deleted.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H3358 (2019):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SCDOT mowing contractors would remove roadside trash before mowing.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Where the idea is law anyway (budget provisos, one year at a time)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Proviso 86.1 (renewed every enacted year):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2017 act's extra money for County Transportation Committees must be spent exclusively on repairs, maintenance, and improvements to the state highway system.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FY 2024-25 proviso 118.22:</w:t>
      </w:r>
      <w:r>
        <w:rPr>
          <w:rFonts w:ascii="Arial" w:hAnsi="Arial" w:cs="Arial" w:eastAsia="Arial"/>
          <w:b w:val="0"/>
          <w:color w:val="444444"/>
          <w:sz w:val="20"/>
        </w:rPr>
        <w:t xml:space="preserve"> $200,000,000 CTC Acceleration Fund; $100,000,000 Bridge Acceleration Fund; $117,401,000 Rural Road Safety Program.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FY 2025-26 proviso 118.22:</w:t>
      </w:r>
      <w:r>
        <w:rPr>
          <w:rFonts w:ascii="Arial" w:hAnsi="Arial" w:cs="Arial" w:eastAsia="Arial"/>
          <w:b w:val="0"/>
          <w:color w:val="444444"/>
          <w:sz w:val="20"/>
        </w:rPr>
        <w:t xml:space="preserve"> $200,000,000 for Bridge Modernization.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FY 2026-27 proviso 118.21:</w:t>
      </w:r>
      <w:r>
        <w:rPr>
          <w:rFonts w:ascii="Arial" w:hAnsi="Arial" w:cs="Arial" w:eastAsia="Arial"/>
          <w:b w:val="0"/>
          <w:color w:val="444444"/>
          <w:sz w:val="20"/>
        </w:rPr>
        <w:t xml:space="preserve"> $175,000,000 CTC Acceleration; $50,000,000 Bridge Modernization.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FY 2026-27 proviso 84.18: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Road Buyback Program — SCDOT identifies state roads no longer serving a statewide purpose and pays counties and cities to take them, resurfaced first, with a report due February 2027.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FUND INFRASTRUCTURE WITHOUT NEW TAXES OR FEES [P-NO-NEW-TAXES]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Ten gas-fee measures died without hearings — and so did the one bill to raise the county share.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Stopped early (died in first committee, no recorded vote)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Freeze or repeal: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H4091 (2021) — stop the Act 40 phase-in at eight cents; H4092 (2021) — repeal the gas user fee and road tax outright.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2022 price-spike suspensions: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H5103 — suspend for one year; H5112 — suspend whenever average gas prices exceed $3.25 a gallon.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2026 suspensions: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S1045 — thirty days, extended thirty more if prices haven't fallen 15%; H5398, H5419, H5422, H5443, H5475 — five near-identical sixty-day suspension resolutions.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EV fees: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H4945 (2022) and H3177 (2023) — repeal the biennial road-use fee on electric and hybrid vehicles.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The opposite direction, same result: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H5331 (2026) — more than double the county ("C" fund) share of the gas fee; died in Ways and Means.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Already law (tightening, not cutting)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H3505 (Act 70 of 2021):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road-funding infrastructure maintenance fee now applies at first titling as well as first registration, closing a collection gap; House 106–4, Senate 42–2.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BETTER BIDDING AND CONTRACTOR ACCOUNTABILITY [P-CONTRACTOR-ACCOUNTABILITY]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No bidding bill reached a floor vote; the transparency tools exist as one-year budget rules.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Already law (edges of the lane)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S401 (Act 36 of 2019):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entities building transportation projects bear the cost of relocating water and sewer lines; Senate 38–0, House 108–0. Extended to 2032 by </w:t>
      </w:r>
      <w:r>
        <w:rPr>
          <w:rFonts w:ascii="Arial" w:hAnsi="Arial" w:cs="Arial" w:eastAsia="Arial"/>
          <w:b/>
          <w:color w:val="1A2D4F"/>
          <w:sz w:val="20"/>
        </w:rPr>
        <w:t>H3768 (Act 244 of 2026)</w:t>
      </w:r>
      <w:r>
        <w:rPr>
          <w:rFonts w:ascii="Arial" w:hAnsi="Arial" w:cs="Arial" w:eastAsia="Arial"/>
          <w:b w:val="0"/>
          <w:color w:val="444444"/>
          <w:sz w:val="20"/>
        </w:rPr>
        <w:t>, 103–0 and 44–0.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H4115 (Act 69 of 2023):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contractor licensing law rewrite — definitions, thresholds, penalties (licensing, not road bidding); House 90–15, Senate 42–0.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Stopped early or stranded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Design-build: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H5312 (2024) and H3560 (2025) — SCDOT could award contracts by progressive/phase design-build (qualifications first, then price); died in Ways and Means and Education and Public Works.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SCDOT's contractor regulations (2020):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S1069 — the contractor performance-evaluation regulation; S1070 — disqualification and suspension from SCDOT contracts; both placed on the Senate calendar and never taken up when COVID ended the session.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Oversight and access: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H4090 (2021) — the secretary would certify and publish SCDOT's expenditure report, including infrastructure-bank transfers; S385, H4401, H4823 (2019–20) — extend disadvantaged-business participation rules across highway contracts and subcontracts; H3559 (2021) — the Partnership for Public Facilities and Infrastructure Act (public-private partnerships); H4369 (2019) — the resolution approving SCDOT's project-prioritization regulation passed the House 107–0 and was recommitted in Senate Transportation; H3119 (2023) and H3344 (2025) — no critical-infrastructure contracts with certain foreign-owned companies.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Where the accountability tools live now (budget provisos, one year at a time)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Proviso 84.8/84.9 (renewed yearly):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SCDOT must publish its project priority lists and the engineering directives explaining the ranking methodology in a conspicuous public place.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Proviso 84.18 → 84.15 (FY 2024-25 onward):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Programmed Project Viewer public dashboard upgrade — status, forecast versus actual cost, completion dates, an on-time/on-budget list, quarterly reports to the budget chairmen.</w:t>
      </w:r>
    </w:p>
    <w:sectPr w:rsidR="00FC693F" w:rsidRPr="0006063C" w:rsidSect="00034616">
      <w:footerReference w:type="default" r:id="rId9"/>
      <w:pgSz w:w="12240" w:h="15840"/>
      <w:pgMar w:top="864" w:right="864" w:bottom="864" w:left="864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512" w:val="right"/>
      </w:tabs>
    </w:pPr>
    <w:r/>
    <w:r>
      <w:rPr>
        <w:rFonts w:ascii="Arial" w:hAnsi="Arial" w:cs="Arial" w:eastAsia="Arial"/>
        <w:b w:val="0"/>
        <w:i/>
        <w:color w:val="666666"/>
        <w:sz w:val="16"/>
      </w:rPr>
      <w:t>SC1 Growth, Infrastructure, and Roads Policy Spotlights v2.0</w:t>
      <w:tab/>
    </w:r>
    <w:fldSimple w:instr=" PAGE ">
      <w:r>
        <w:rPr>
          <w:sz w:val="16"/>
          <w:color w:val="666666"/>
          <w:i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