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高校电竞约战赛事平台项目立项书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立项编号</w:t>
      </w:r>
      <w:r>
        <w:rPr>
          <w:rFonts w:eastAsia="等线" w:ascii="Arial" w:cs="Arial" w:hAnsi="Arial"/>
          <w:sz w:val="22"/>
        </w:rPr>
        <w:t>：XM-GX-DJ-202603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立项单位</w:t>
      </w:r>
      <w:r>
        <w:rPr>
          <w:rFonts w:eastAsia="等线" w:ascii="Arial" w:cs="Arial" w:hAnsi="Arial"/>
          <w:sz w:val="22"/>
        </w:rPr>
        <w:t>：第五项目组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立项日期</w:t>
      </w:r>
      <w:r>
        <w:rPr>
          <w:rFonts w:eastAsia="等线" w:ascii="Arial" w:cs="Arial" w:hAnsi="Arial"/>
          <w:sz w:val="22"/>
        </w:rPr>
        <w:t>：2026年03月24日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项目负责人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联系电话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电子邮箱</w:t>
      </w:r>
      <w:r>
        <w:rPr>
          <w:rFonts w:eastAsia="等线" w:ascii="Arial" w:cs="Arial" w:hAnsi="Arial"/>
          <w:sz w:val="22"/>
        </w:rPr>
        <w:t>：__________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项目背景与市场分析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目标用户与核心需求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项目核心功能与系统边界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项目创新性与竞争优势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商业模式与盈利规划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技术方案与实施规划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高校身份认证与用户管理方案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项目运营与推广策略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项目风险评估与应对措施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项目资源需求与预算预估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项目预期成果与效益分析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立项结论与建议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项目名称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高校电竞约战赛事平台（简称：高校电竞集结站）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项目定位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本项目聚焦高校电竞垂直圈层，以“打造大学生专属电竞社交与赛事服务平台”为核心定位，整合</w:t>
      </w:r>
      <w:r>
        <w:rPr>
          <w:rFonts w:eastAsia="等线" w:ascii="Arial" w:cs="Arial" w:hAnsi="Arial"/>
          <w:b w:val="true"/>
          <w:sz w:val="22"/>
        </w:rPr>
        <w:t>在线约战、赛事组织、战队管理、电竞交流、第三方直播嵌入</w:t>
      </w:r>
      <w:r>
        <w:rPr>
          <w:rFonts w:eastAsia="等线" w:ascii="Arial" w:cs="Arial" w:hAnsi="Arial"/>
          <w:sz w:val="22"/>
        </w:rPr>
        <w:t>等核心功能，依托高校身份认证构建纯粹的校园电竞圈层，为高校电竞爱好者提供轻量化、本土化、社交化的电竞服务，同时搭建适配初期发展的C端盈利体系，实现“流量积累+轻量变现”的初期目标，逐步打造校园电竞生态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项目建设周期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本项目整体建设周期为6个月，分**需求调研与设计（1个月）、技术开发与测试（3个月）、试运营与优化（2个月）**三个阶段，完成平台从0到1的落地，实现单区域高校核心用户积累与初期盈利。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项目核心愿景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为国内高校电竞领域的标杆性垂直平台，连接高校电竞爱好者、电竞社团、校园商户及电竞相关品牌，推动校园电竞文化健康发展，为大学生提供“约战有渠道、赛事有组织、交流有阵地、展示有平台”的一站式电竞服务，同时探索校园电竞垂直领域的商业化可持续发展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项目背景与市场分析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项目背景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高校电竞文化发展进入快车道，电竞已成为大学生课余休闲、社交互动的主流方式之一，据相关数据统计，国内高校电竞爱好者占比超70%，核心需求集中在约战匹配、赛事参与、战队组建等方面。但现阶段高校电竞领域仍存在显著痛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约战无精准渠道</w:t>
      </w:r>
      <w:r>
        <w:rPr>
          <w:rFonts w:eastAsia="等线" w:ascii="Arial" w:cs="Arial" w:hAnsi="Arial"/>
          <w:sz w:val="22"/>
        </w:rPr>
        <w:t>：大学生电竞约战多依赖社交群、游戏内频道，存在匹配效率低、对手水平不均、校外人员干扰等问题，缺乏高校专属的约战平台；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赛事组织门槛高</w:t>
      </w:r>
      <w:r>
        <w:rPr>
          <w:rFonts w:eastAsia="等线" w:ascii="Arial" w:cs="Arial" w:hAnsi="Arial"/>
          <w:sz w:val="22"/>
        </w:rPr>
        <w:t>：校内电竞赛事多为社团自发组织，缺乏轻量化的赛事策划、报名、赛程管理工具，赛事宣传覆盖面窄、流程不规范，难以形成规模效应；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圈层缺乏纯粹性</w:t>
      </w:r>
      <w:r>
        <w:rPr>
          <w:rFonts w:eastAsia="等线" w:ascii="Arial" w:cs="Arial" w:hAnsi="Arial"/>
          <w:sz w:val="22"/>
        </w:rPr>
        <w:t>：通用电竞平台聚焦职业赛场，无高校身份认证机制，校园电竞爱好者难以形成专属圈层，社交与交流需求无法得到满足；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资源整合度低</w:t>
      </w:r>
      <w:r>
        <w:rPr>
          <w:rFonts w:eastAsia="等线" w:ascii="Arial" w:cs="Arial" w:hAnsi="Arial"/>
          <w:sz w:val="22"/>
        </w:rPr>
        <w:t>：高校电竞资讯、场地资源、赛事资源分散，缺乏统一的整合平台，同时校企电竞合作存在信息壁垒，校园电竞缺乏商业资源支持。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现有通用电竞平台因定位职业、功能复杂、缺乏校园本土化设计，无法适配高校电竞爱好者的轻量化、社交化需求，</w:t>
      </w:r>
      <w:r>
        <w:rPr>
          <w:rFonts w:eastAsia="等线" w:ascii="Arial" w:cs="Arial" w:hAnsi="Arial"/>
          <w:b w:val="true"/>
          <w:sz w:val="22"/>
        </w:rPr>
        <w:t>高校电竞垂直领域存在明显的市场空白</w:t>
      </w:r>
      <w:r>
        <w:rPr>
          <w:rFonts w:eastAsia="等线" w:ascii="Arial" w:cs="Arial" w:hAnsi="Arial"/>
          <w:sz w:val="22"/>
        </w:rPr>
        <w:t>，为本项目的开发与落地提供了核心契机。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市场分析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2.2.1 目标市场规模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国内高校在校生超3000万人，电竞爱好者占比超70%，核心目标市场规模超2000万人，且大学生群体具备高活跃度、高传播性、消费需求个性化的特点，校园电竞市场具备巨大的发展潜力。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市场发展趋势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校园电竞规范化</w:t>
      </w:r>
      <w:r>
        <w:rPr>
          <w:rFonts w:eastAsia="等线" w:ascii="Arial" w:cs="Arial" w:hAnsi="Arial"/>
          <w:sz w:val="22"/>
        </w:rPr>
        <w:t>：高校对电竞文化的接受度逐步提升，多地高校成立电竞社团、开设电竞相关课程，校园电竞赛事向标准化、规模化发展；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垂直平台精细化</w:t>
      </w:r>
      <w:r>
        <w:rPr>
          <w:rFonts w:eastAsia="等线" w:ascii="Arial" w:cs="Arial" w:hAnsi="Arial"/>
          <w:sz w:val="22"/>
        </w:rPr>
        <w:t>：电竞市场从“通用化”向“垂直化”发展，聚焦高校、青少年等细分圈层的电竞平台成为新的发展趋势，更贴合用户个性化需求；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电竞社交轻量化</w:t>
      </w:r>
      <w:r>
        <w:rPr>
          <w:rFonts w:eastAsia="等线" w:ascii="Arial" w:cs="Arial" w:hAnsi="Arial"/>
          <w:sz w:val="22"/>
        </w:rPr>
        <w:t>：年轻用户对电竞的需求从“单纯玩游戏”向“游戏+社交”转变，轻量化、社交化的电竞服务更受大学生群体青睐；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商业化多元化</w:t>
      </w:r>
      <w:r>
        <w:rPr>
          <w:rFonts w:eastAsia="等线" w:ascii="Arial" w:cs="Arial" w:hAnsi="Arial"/>
          <w:sz w:val="22"/>
        </w:rPr>
        <w:t>：校园电竞的商业化从“单一广告”向“赛事赞助、商户合作、C端增值服务”多元化发展，垂直平台的商业变现空间逐步扩大。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竞品分析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本项目的竞品主要分为</w:t>
      </w:r>
      <w:r>
        <w:rPr>
          <w:rFonts w:eastAsia="等线" w:ascii="Arial" w:cs="Arial" w:hAnsi="Arial"/>
          <w:b w:val="true"/>
          <w:sz w:val="22"/>
        </w:rPr>
        <w:t>通用电竞平台</w:t>
      </w:r>
      <w:r>
        <w:rPr>
          <w:rFonts w:eastAsia="等线" w:ascii="Arial" w:cs="Arial" w:hAnsi="Arial"/>
          <w:sz w:val="22"/>
        </w:rPr>
        <w:t>（如虎牙、斗鱼、王者营地）和</w:t>
      </w:r>
      <w:r>
        <w:rPr>
          <w:rFonts w:eastAsia="等线" w:ascii="Arial" w:cs="Arial" w:hAnsi="Arial"/>
          <w:b w:val="true"/>
          <w:sz w:val="22"/>
        </w:rPr>
        <w:t>校园轻社交平台</w:t>
      </w:r>
      <w:r>
        <w:rPr>
          <w:rFonts w:eastAsia="等线" w:ascii="Arial" w:cs="Arial" w:hAnsi="Arial"/>
          <w:sz w:val="22"/>
        </w:rPr>
        <w:t>两类，其优劣势与本项目的差异化竞争点如下：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本项目差异化竞争点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通用电竞平台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虎牙、斗鱼、王者营地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功能完善、流量大、直播体系成熟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聚焦职业赛场、无高校圈层、功能复杂、缺乏校园本土化设计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高校专属圈层、轻量化功能、校园本土化服务、精准匹配约战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校园轻社交平台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玩趣社区、高校电竞社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聚焦校园、用户精准、社交属性强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赛事工具薄弱、约战功能单一、盈利模式模糊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一体化约战+赛事工具、标准化高校身份认证、适配初期的C端盈利体系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目标用户与核心需求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多角色权限设计</w:t>
      </w:r>
      <w:r>
        <w:rPr>
          <w:rFonts w:eastAsia="等线" w:ascii="Arial" w:cs="Arial" w:hAnsi="Arial"/>
          <w:sz w:val="22"/>
        </w:rPr>
        <w:t>，核心目标用户覆盖高校电竞全场景参与主体，各角色的定位与核心需求如下，所有功能设计均围绕用户核心需求展开，确保平台的实用性与适配性。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核心用户角色及需求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普通电竞爱好者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高校在校学生，电竞休闲人群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精准同校/同段位约战、便捷参与校内赛事、交流电竞技巧、观看校园赛事直播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电竞战队/高水平选手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高校电竞社团战队、个人高水平选手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战队组建与队员招募、战队战绩系统化统计、赛事曝光与展示、寻找跨校对战机会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赛事组织者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高校电竞社团负责人、学生赛事策划者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轻量化赛事创建/报名/排程工具、赛事精准宣传、赛事数据自动统计、直播对接服务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校园商户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高校周边电竞馆、网咖、饮品店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校园电竞流量引流、线下场地预约对接、赛事场地合作、品牌优惠推广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项目组运营、技术维护人员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高校身份认证审核、用户/战队/赛事管理、内容审核、平台运维与数据统计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核心需求总结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本项目需解决高校电竞爱好者的**“约战、赛事、社交、展示”</w:t>
      </w:r>
      <w:r>
        <w:rPr>
          <w:rFonts w:eastAsia="等线" w:ascii="Arial" w:cs="Arial" w:hAnsi="Arial"/>
          <w:b w:val="true"/>
          <w:sz w:val="22"/>
        </w:rPr>
        <w:t>四大核心需求，同时满足赛事组织者的</w:t>
      </w:r>
      <w:r>
        <w:rPr>
          <w:rFonts w:eastAsia="等线" w:ascii="Arial" w:cs="Arial" w:hAnsi="Arial"/>
          <w:sz w:val="22"/>
        </w:rPr>
        <w:t>“高效办赛”</w:t>
      </w:r>
      <w:r>
        <w:rPr>
          <w:rFonts w:eastAsia="等线" w:ascii="Arial" w:cs="Arial" w:hAnsi="Arial"/>
          <w:b w:val="true"/>
          <w:sz w:val="22"/>
        </w:rPr>
        <w:t>需求、校园商户的</w:t>
      </w:r>
      <w:r>
        <w:rPr>
          <w:rFonts w:eastAsia="等线" w:ascii="Arial" w:cs="Arial" w:hAnsi="Arial"/>
          <w:sz w:val="22"/>
        </w:rPr>
        <w:t>“流量引流”**需求，最终实现“用户有体验、组织者有效率、商户有收益、平台有价值”的多方共赢。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项目核心功能与系统边界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核心功能模块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模块化架构设计</w:t>
      </w:r>
      <w:r>
        <w:rPr>
          <w:rFonts w:eastAsia="等线" w:ascii="Arial" w:cs="Arial" w:hAnsi="Arial"/>
          <w:sz w:val="22"/>
        </w:rPr>
        <w:t>，所有模块独立开发、低耦合、高内聚，支持后期功能拓展与迭代，核心功能模块围绕用户核心需求设计，共分为8大模块，各模块的核心功能如下：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4.1.1 高校身份认证模块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平台的核心基础模块，支撑高校圈层纯粹性，采用**“校园邮箱认证+学生证轻量审核”**双重认证方式，用户完成认证后绑定所属高校，未认证用户仅可使用基础功能，倒逼用户完成认证。核心功能：高校选择、校园邮箱验证、学生证照片上传、人工审核、认证状态查询、认证信息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4.1.2 在线约战匹配模块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功能之一，聚焦高校精准约战，支持多游戏项目适配。核心功能：游戏项目选择（LOL、王者荣耀、CS2等）、多维度筛选（同校/跨校、段位、人数、线上/线下）、约战房间创建、对手邀约、约战战绩自动记录、线下场地预约对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4.1.3 赛事管理模块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赛事组织者提供轻量化、标准化的赛事工具，支持校内赛、校际赛等多种赛事类型。核心功能：赛事发布、报名条件设置、报名审核、赛程自动编排、比分录入、赛事榜单生成、赛事数据统计与导出、第三方直播链接/嵌入代码挂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4.1.4 战队管理模块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满足战队组建、运营与展示需求，打造高校战队专属展示阵地。核心功能：战队创建、队员招募与管理、战队信息编辑、战队战绩系统化统计、战队排行榜（校内/跨校）、战队高光时刻上传、战队主页展示。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4.1.5 电竞交流社区模块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打造高校电竞专属交流阵地，按游戏项目分类，提升用户粘性。核心功能：话题发布、技巧分享、赛事复盘、评论互动、内容点赞/收藏、分类筛选、热门话题推荐、内容审核。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4.1.6 第三方直播嵌入模块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无需自研专业直播系统，依托B站等第三方直播平台，实现平台内无缝观看直播。核心功能：直播间链接/嵌入代码填写、直播窗口内嵌播放、直播回放同步、弹幕互动（第三方承载）、赛事直播分类展示。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4.1.7 个人/战队中心模块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整合用户/战队的所有信息与操作，实现一站式管理。核心功能：个人/战队信息编辑、战绩查询、约战/赛事记录、收藏内容管理、会员权益查看、虚拟道具使用、付费服务购买。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4.1.8 运营管理后台模块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为平台管理员提供一站式运营管理工具，支撑平台日常运营。核心功能：用户/战队/赛事管理、内容审核、高校管理、数据统计分析、会员管理、付费服务管理、违规行为处理。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 系统边界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4.2.1 包含内容（In-Scope）</w:t>
      </w:r>
      <w:bookmarkEnd w:id="2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高校身份认证：校园邮箱认证、学生证轻量人工审核，高校信息管理；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在线约战：多游戏项目适配、多维度精准匹配、约战房间管理、战绩记录、线下场地预约对接；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赛事管理：轻量化赛事创建/报名/排程、数据统计、第三方直播嵌入；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战队管理：战队创建、队员管理、战绩统计、排行榜展示、战队主页；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电竞交流：话题发布、互动、分类筛选、内容审核；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个人/战队中心：信息管理、战绩查询、付费服务购买、虚拟道具使用；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运营后台：全平台数据管理、审核、统计分析；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多端适配：Web端、移动端H5/小程序基础适配，支持核心功能操作；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C端盈利功能：会员订阅、赛事增值服务、个性化定制、虚拟道具售卖。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4.2.2 不包含内容（Out-of-Scope）</w:t>
      </w:r>
      <w:bookmarkEnd w:id="2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不开发专业电竞直播系统，不涉及实时直播推流、弹幕开发、直播服务器搭建，仅依托第三方平台实现直播嵌入；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不提供电竞游戏代练、账号交易、付费陪玩、电竞博彩等违规服务；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不接入大型电竞游戏官方数据接口，仅支持用户手动录入/平台简易统计战绩；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不涉及线下赛事落地执行服务，仅提供线上工具与资源对接，线下执行由组织者自主完成；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不开发职业电竞培训、电竞青训等专业功能，聚焦高校业余电竞场景；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不接入支付系统核心功能，依托第三方支付工具（如微信、支付宝）实现C端付费，不涉及资金池管理；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不提供物流、实物配送等服务，虚拟道具与数字化服务均在线上交付。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 项目创新性与竞争优势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5.1 项目创新性</w:t>
      </w:r>
      <w:bookmarkEnd w:id="2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圈层创新</w:t>
      </w:r>
      <w:r>
        <w:rPr>
          <w:rFonts w:eastAsia="等线" w:ascii="Arial" w:cs="Arial" w:hAnsi="Arial"/>
          <w:sz w:val="22"/>
        </w:rPr>
        <w:t>：依托</w:t>
      </w:r>
      <w:r>
        <w:rPr>
          <w:rFonts w:eastAsia="等线" w:ascii="Arial" w:cs="Arial" w:hAnsi="Arial"/>
          <w:b w:val="true"/>
          <w:sz w:val="22"/>
        </w:rPr>
        <w:t>标准化高校身份认证</w:t>
      </w:r>
      <w:r>
        <w:rPr>
          <w:rFonts w:eastAsia="等线" w:ascii="Arial" w:cs="Arial" w:hAnsi="Arial"/>
          <w:sz w:val="22"/>
        </w:rPr>
        <w:t>，打造国内高校电竞专属纯粹圈层，区别于通用电竞平台的泛用户群体，精准匹配大学生电竞社交需求，提升用户归属感与粘性；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功能创新</w:t>
      </w:r>
      <w:r>
        <w:rPr>
          <w:rFonts w:eastAsia="等线" w:ascii="Arial" w:cs="Arial" w:hAnsi="Arial"/>
          <w:sz w:val="22"/>
        </w:rPr>
        <w:t>：打造**“约战+赛事+战队+交流”**一体化轻量化功能体系，所有功能围绕校园电竞场景设计，操作简单、适配性强，解决高校电竞“约战无渠道、赛事无工具”的核心痛点，区别于同类平台功能单一的问题；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模式创新</w:t>
      </w:r>
      <w:r>
        <w:rPr>
          <w:rFonts w:eastAsia="等线" w:ascii="Arial" w:cs="Arial" w:hAnsi="Arial"/>
          <w:sz w:val="22"/>
        </w:rPr>
        <w:t>：参考PlayVS校园电竞标准化逻辑，结合平台初期体量小的现状，打造</w:t>
      </w:r>
      <w:r>
        <w:rPr>
          <w:rFonts w:eastAsia="等线" w:ascii="Arial" w:cs="Arial" w:hAnsi="Arial"/>
          <w:b w:val="true"/>
          <w:sz w:val="22"/>
        </w:rPr>
        <w:t>低门槛、高适配、易落地</w:t>
      </w:r>
      <w:r>
        <w:rPr>
          <w:rFonts w:eastAsia="等线" w:ascii="Arial" w:cs="Arial" w:hAnsi="Arial"/>
          <w:sz w:val="22"/>
        </w:rPr>
        <w:t>的C端核心盈利体系，摒弃复杂的B端合作，实现初期“流量积累+轻量变现”的双重目标，适配校园电竞平台从0到1的发展节奏；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技术创新</w:t>
      </w:r>
      <w:r>
        <w:rPr>
          <w:rFonts w:eastAsia="等线" w:ascii="Arial" w:cs="Arial" w:hAnsi="Arial"/>
          <w:sz w:val="22"/>
        </w:rPr>
        <w:t>：采用</w:t>
      </w:r>
      <w:r>
        <w:rPr>
          <w:rFonts w:eastAsia="等线" w:ascii="Arial" w:cs="Arial" w:hAnsi="Arial"/>
          <w:b w:val="true"/>
          <w:sz w:val="22"/>
        </w:rPr>
        <w:t>模块化架构+可配置化功能体系+弹性数据库设计</w:t>
      </w:r>
      <w:r>
        <w:rPr>
          <w:rFonts w:eastAsia="等线" w:ascii="Arial" w:cs="Arial" w:hAnsi="Arial"/>
          <w:sz w:val="22"/>
        </w:rPr>
        <w:t>，核心功能模块独立开发，游戏项目、赛事类型等易变内容可通过后台配置快速更新，数据库预留扩展字段与分库分表策略，支持平台后期规模扩张与功能拓展，降低开发与维护成本。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5.2 项目竞争优势</w:t>
      </w:r>
      <w:bookmarkEnd w:id="3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用户精准度高</w:t>
      </w:r>
      <w:r>
        <w:rPr>
          <w:rFonts w:eastAsia="等线" w:ascii="Arial" w:cs="Arial" w:hAnsi="Arial"/>
          <w:sz w:val="22"/>
        </w:rPr>
        <w:t>：聚焦高校电竞垂直圈层，所有用户均为高校在校学生，消费需求、行为特征高度统一，平台功能与服务更贴合目标用户需求，传播性与转化效率远高于通用平台；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功能轻量化适配</w:t>
      </w:r>
      <w:r>
        <w:rPr>
          <w:rFonts w:eastAsia="等线" w:ascii="Arial" w:cs="Arial" w:hAnsi="Arial"/>
          <w:sz w:val="22"/>
        </w:rPr>
        <w:t>：所有功能均按校园电竞场景做轻量化设计，操作简单、易上手，无需专业的电竞知识与操作能力，适配大学生的使用习惯，解决同类平台功能复杂、学习成本高的问题；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盈利模式适配初期发展</w:t>
      </w:r>
      <w:r>
        <w:rPr>
          <w:rFonts w:eastAsia="等线" w:ascii="Arial" w:cs="Arial" w:hAnsi="Arial"/>
          <w:sz w:val="22"/>
        </w:rPr>
        <w:t>：核心聚焦C端轻量盈利，会员、增值服务等产品定价贴合大学生消费能力，开发成本低、落地速度快，无需大规模的品牌合作与资源投入，实现平台初期现金流积累；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技术架构可拓展性强</w:t>
      </w:r>
      <w:r>
        <w:rPr>
          <w:rFonts w:eastAsia="等线" w:ascii="Arial" w:cs="Arial" w:hAnsi="Arial"/>
          <w:sz w:val="22"/>
        </w:rPr>
        <w:t>：模块化架构设计让平台后期可快速新增功能模块（如校企合作、电竞人才服务），可配置化功能体系与弹性数据库设计适配游戏项目、用户规模的动态变化，为平台后期规模化发展奠定技术基础；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运营模式轻量化</w:t>
      </w:r>
      <w:r>
        <w:rPr>
          <w:rFonts w:eastAsia="等线" w:ascii="Arial" w:cs="Arial" w:hAnsi="Arial"/>
          <w:sz w:val="22"/>
        </w:rPr>
        <w:t>：采用**“平台搭台+校内运营”**的三级管理体系，招募高校电竞社团负责人担任校内管理员，实现校内用户/战队/赛事的自主管理，降低平台运营成本，提升运营效率与校园本土化适配性。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 商业模式与盈利规划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本项目结合</w:t>
      </w:r>
      <w:r>
        <w:rPr>
          <w:rFonts w:eastAsia="等线" w:ascii="Arial" w:cs="Arial" w:hAnsi="Arial"/>
          <w:b w:val="true"/>
          <w:sz w:val="22"/>
        </w:rPr>
        <w:t>初期筹备、体量小、无品牌合作资源</w:t>
      </w:r>
      <w:r>
        <w:rPr>
          <w:rFonts w:eastAsia="等线" w:ascii="Arial" w:cs="Arial" w:hAnsi="Arial"/>
          <w:sz w:val="22"/>
        </w:rPr>
        <w:t>的现状，参考PlayVS校园电竞标准化逻辑，确立**“C端轻量盈利为核心，B端合作变现为中期拓展，生态增值为长期目标”**的商业模式，所有盈利模式均基于平台核心功能延伸，开发成本低、落地速度快，贴合大学生消费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6.1 核心盈利原则</w:t>
      </w:r>
      <w:bookmarkEnd w:id="3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免费核心功能</w:t>
      </w:r>
      <w:r>
        <w:rPr>
          <w:rFonts w:eastAsia="等线" w:ascii="Arial" w:cs="Arial" w:hAnsi="Arial"/>
          <w:sz w:val="22"/>
        </w:rPr>
        <w:t>：约战匹配、基础赛事创建/参与、战队组建、电竞交流等核心功能永久免费，仅对</w:t>
      </w:r>
      <w:r>
        <w:rPr>
          <w:rFonts w:eastAsia="等线" w:ascii="Arial" w:cs="Arial" w:hAnsi="Arial"/>
          <w:b w:val="true"/>
          <w:sz w:val="22"/>
        </w:rPr>
        <w:t>个性化、优质化、专属化</w:t>
      </w:r>
      <w:r>
        <w:rPr>
          <w:rFonts w:eastAsia="等线" w:ascii="Arial" w:cs="Arial" w:hAnsi="Arial"/>
          <w:sz w:val="22"/>
        </w:rPr>
        <w:t>服务收费，不影响用户核心体验；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低门槛高频次</w:t>
      </w:r>
      <w:r>
        <w:rPr>
          <w:rFonts w:eastAsia="等线" w:ascii="Arial" w:cs="Arial" w:hAnsi="Arial"/>
          <w:sz w:val="22"/>
        </w:rPr>
        <w:t>：所有付费产品单价≤30元，主打“小额订阅、按次付费”，贴合大学生付费意愿低的特点，靠“薄利多销”积累初期现金流；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高校圈层绑定</w:t>
      </w:r>
      <w:r>
        <w:rPr>
          <w:rFonts w:eastAsia="等线" w:ascii="Arial" w:cs="Arial" w:hAnsi="Arial"/>
          <w:sz w:val="22"/>
        </w:rPr>
        <w:t>：所有付费权益均围绕“高校专属”设计，强化高校电竞圈层的稀缺性与专属感，提升用户付费意愿；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开发轻量化</w:t>
      </w:r>
      <w:r>
        <w:rPr>
          <w:rFonts w:eastAsia="等线" w:ascii="Arial" w:cs="Arial" w:hAnsi="Arial"/>
          <w:sz w:val="22"/>
        </w:rPr>
        <w:t>：所有盈利功能均基于现有模块做小功能迭代，无需重构系统，适配初期技术开发能力与成本预算。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6.2 初期核心盈利模式（0-6个月，C端为主）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6.2.1 高校专属轻会员订阅制（核心现金流）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为平台最稳定的盈利来源，主打月卡/季卡，定价贴合大学生消费能力，权益紧扣约战、赛事、战队三大核心需求，新用户注册送3天免费会员，提升付费转化率。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定价：月卡6.9元，季卡16.9元；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核心权益：同校精准匹配优先、赛事专属报名通道、战队主页免费装修、平台定制虚拟道具、每月免费线下场地预约优惠券、会员专属福利群。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6.2.2 赛事轻量化增值服务（按次付费，高复购）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针对赛事组织者与参赛用户，推出按次付费的轻增值服务，依托现有赛事管理模块实现，无需额外开发核心功能，单价1.9-29.9元。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组织者服务：赛事主页定制装修（9.9元/场）、赛事精准推广（16.9元/场）、赛事数据自动统计导出（19.9元/场）、直播回放一键保存剪辑（29.9元/场）；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参赛用户服务：赛事专属标识（1.9元/场）、个人赛事数据报告（6.9元/场）、赛事人气投票置顶（9.9元/场）。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6.2.3 战队/个人个性化定制服务（按需付费，针对核心用户）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针对高校电竞战队、高水平选手等核心用户，推出轻量化个性化定制服务，满足用户展示欲与专属感，单价9.9-39.9元，按需购买。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战队定制：战队LOGO设计、战队主页全套装修、专属战术手册制作（19.9-39.9元/套）；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个人定制：专属电竞名片制作（9.9元/张）、游戏/赛事高光时刻剪辑（16.9元/条）、个人/战队战绩合集生成（19.9元/份）。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6.2.4 高校电竞定制虚拟道具售卖（零开发成本，纯运营）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无需技术开发，平台自主设计高校电竞定制虚拟道具，单价≤5元，支持单件购买与套餐购买，快速实现轻量变现。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基础道具：高校定制头像框、弹幕样式、约战房间背景（1-3元/件）；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赛事道具：校内赛专属纪念徽章、战队专属标识（3-5元/件）；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套装道具：道具组合套餐（9.9元/套），提升客单价。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6.3 中期盈利拓展（6-12个月，C+B结合）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在C端盈利体系成熟、用户规模达到区域高校10万+后，逐步拓展B端合作变现，实现盈利多元化：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校园商户合作</w:t>
      </w:r>
      <w:r>
        <w:rPr>
          <w:rFonts w:eastAsia="等线" w:ascii="Arial" w:cs="Arial" w:hAnsi="Arial"/>
          <w:sz w:val="22"/>
        </w:rPr>
        <w:t>：与高校周边电竞馆、网咖、饮品店合作，收取场地预约佣金（5-10元/人）、优惠活动推广费（数百至数千元/月）、赛事场地对接费；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轻量品牌合作</w:t>
      </w:r>
      <w:r>
        <w:rPr>
          <w:rFonts w:eastAsia="等线" w:ascii="Arial" w:cs="Arial" w:hAnsi="Arial"/>
          <w:sz w:val="22"/>
        </w:rPr>
        <w:t>：对接电竞外设、数码、饮品等大学生高频消费品牌，推出平台开屏广告、赛事直播窗口广告等轻量品牌曝光服务，按曝光量计费；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付费打赏分成</w:t>
      </w:r>
      <w:r>
        <w:rPr>
          <w:rFonts w:eastAsia="等线" w:ascii="Arial" w:cs="Arial" w:hAnsi="Arial"/>
          <w:sz w:val="22"/>
        </w:rPr>
        <w:t>：开放赛事解说/高光选手打赏功能，设置1/3/5元三档，平台抽取30%分成，剩余归打赏对象。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6.4 长期盈利规划（12个月以上，生态增值）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打造全国性高校电竞平台后，整合高校、品牌、电竞产业上下游资源，实现生态增值变现：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自有赛事IP运营</w:t>
      </w:r>
      <w:r>
        <w:rPr>
          <w:rFonts w:eastAsia="等线" w:ascii="Arial" w:cs="Arial" w:hAnsi="Arial"/>
          <w:sz w:val="22"/>
        </w:rPr>
        <w:t>：打造平台专属校园电竞IP赛事，收取赛事冠名费、赞助费，实现赛事版权分销、周边衍生变现；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电竞人才服务</w:t>
      </w:r>
      <w:r>
        <w:rPr>
          <w:rFonts w:eastAsia="等线" w:ascii="Arial" w:cs="Arial" w:hAnsi="Arial"/>
          <w:sz w:val="22"/>
        </w:rPr>
        <w:t>：搭建高校电竞人才库，为职业俱乐部、直播平台推荐优质选手/解说，收取人才推荐费；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数据服务变现</w:t>
      </w:r>
      <w:r>
        <w:rPr>
          <w:rFonts w:eastAsia="等线" w:ascii="Arial" w:cs="Arial" w:hAnsi="Arial"/>
          <w:sz w:val="22"/>
        </w:rPr>
        <w:t>：依托平台用户数据，为品牌方、电竞厂商提供高校电竞市场分析报告，收取数据服务费。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6.5 初期盈利目标（0-6个月）</w:t>
      </w:r>
      <w:bookmarkEnd w:id="4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单区域高校核心用户积累5000-10000人，高校身份认证完成率≥90%；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会员付费转化率≥8%，赛事增值服务复购率≥15%；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实现月均盈利≥3000元，累计盈利≥10000元，完成初期现金流积累，验证盈利模式可行性。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7. 技术方案与实施规划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7.1 核心技术架构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前后端分离架构</w:t>
      </w:r>
      <w:r>
        <w:rPr>
          <w:rFonts w:eastAsia="等线" w:ascii="Arial" w:cs="Arial" w:hAnsi="Arial"/>
          <w:sz w:val="22"/>
        </w:rPr>
        <w:t>，结合模块化设计理念，确保系统的稳定性、可拓展性与开发效率，核心技术栈选择兼顾</w:t>
      </w:r>
      <w:r>
        <w:rPr>
          <w:rFonts w:eastAsia="等线" w:ascii="Arial" w:cs="Arial" w:hAnsi="Arial"/>
          <w:b w:val="true"/>
          <w:sz w:val="22"/>
        </w:rPr>
        <w:t>技术成熟度、开发成本、校园项目适配性</w:t>
      </w:r>
      <w:r>
        <w:rPr>
          <w:rFonts w:eastAsia="等线" w:ascii="Arial" w:cs="Arial" w:hAnsi="Arial"/>
          <w:sz w:val="22"/>
        </w:rPr>
        <w:t>，避免使用复杂的前沿技术，降低开发与维护难度。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7.1.1 技术栈选择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技术层面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Vite + UniApp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轻量、高效、易上手，UniApp支持一次开发多端适配（Web、H5、小程序），降低多端开发成本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+ Spring Cloud Alibaba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成熟的Java开发框架，轻量化、易配置，Spring Cloud Alibaba支持微服务拆分，适配后期模块拓展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 + 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MySQL为关系型数据库，适配结构化数据存储；Redis为缓存数据库，提升平台访问速度，缓解服务器压力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阿里云轻量应用服务器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性价比高、运维简单，支持弹性扩容，适配初期低访问量与后期高访问量的动态变化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阿里云OSS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用于存储用户上传的照片、视频、赛事复盘等文件，避免数据库臃肿，提升数据读写效率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微信支付/支付宝支付、B站直播嵌入API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依托成熟第三方接口，实现付费与直播功能，降低开发成本与合规风险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7.1.2 核心技术设计</w:t>
      </w:r>
      <w:bookmarkEnd w:id="44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模块化架构</w:t>
      </w:r>
      <w:r>
        <w:rPr>
          <w:rFonts w:eastAsia="等线" w:ascii="Arial" w:cs="Arial" w:hAnsi="Arial"/>
          <w:sz w:val="22"/>
        </w:rPr>
        <w:t>：将平台拆分为8大核心功能模块，各模块独立开发、独立部署，通过标准化接口实现数据交互，后期新增功能仅需新增模块，无需重构核心系统；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可配置化功能体系</w:t>
      </w:r>
      <w:r>
        <w:rPr>
          <w:rFonts w:eastAsia="等线" w:ascii="Arial" w:cs="Arial" w:hAnsi="Arial"/>
          <w:sz w:val="22"/>
        </w:rPr>
        <w:t>：将游戏项目、赛事类型、会员权益等易变内容抽离至后台配置表，管理员可通过后台可视化操作快速更新，无需开发人员修改代码；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弹性数据库设计</w:t>
      </w:r>
      <w:r>
        <w:rPr>
          <w:rFonts w:eastAsia="等线" w:ascii="Arial" w:cs="Arial" w:hAnsi="Arial"/>
          <w:sz w:val="22"/>
        </w:rPr>
        <w:t>：MySQL数据库按模块分表，所有核心表预留3-5个扩展字段，适配后期业务需求拓展；针对战绩、赛事数据等易增长数据，预留按时间分表策略，支持数据量动态增长；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缓存优化</w:t>
      </w:r>
      <w:r>
        <w:rPr>
          <w:rFonts w:eastAsia="等线" w:ascii="Arial" w:cs="Arial" w:hAnsi="Arial"/>
          <w:sz w:val="22"/>
        </w:rPr>
        <w:t>：通过Redis缓存高频访问数据（如用户信息、赛事榜单、约战匹配信息），提升平台访问速度，降低数据库压力；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第三方依赖轻量化</w:t>
      </w:r>
      <w:r>
        <w:rPr>
          <w:rFonts w:eastAsia="等线" w:ascii="Arial" w:cs="Arial" w:hAnsi="Arial"/>
          <w:sz w:val="22"/>
        </w:rPr>
        <w:t>：所有非核心功能（支付、直播、存储）均依托成熟第三方接口实现，减少自研成本，降低合规风险与运维难度。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7.2 项目实施规划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本项目整体建设周期为6个月，分</w:t>
      </w:r>
      <w:r>
        <w:rPr>
          <w:rFonts w:eastAsia="等线" w:ascii="Arial" w:cs="Arial" w:hAnsi="Arial"/>
          <w:b w:val="true"/>
          <w:sz w:val="22"/>
        </w:rPr>
        <w:t>需求调研与设计、技术开发与测试、试运营与优化</w:t>
      </w:r>
      <w:r>
        <w:rPr>
          <w:rFonts w:eastAsia="等线" w:ascii="Arial" w:cs="Arial" w:hAnsi="Arial"/>
          <w:sz w:val="22"/>
        </w:rPr>
        <w:t>三个阶段，各阶段的核心任务、时间节点、交付成果如下，确保项目按计划有序落地。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7.2.1 阶段一：需求调研与设计（第1个月，2026年X月-X月）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目标用户需求深度调研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全组人员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《高校电竞约战赛事平台需求调研分析报告》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平台功能架构设计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第2-3周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《平台功能架构设计说明书》、功能模块原型图（Axure）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数据库设计与技术架构设计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第3-4周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《数据库设计说明书》、《技术架构设计说明书》、数据库表结构设计图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产品UI/UX设计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第3-4周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平台Web端/移动端UI设计稿、交互流程图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7.2.2 阶段二：技术开发与测试（第2-4个月，2026年X月-X月）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模块化开发+迭代测试</w:t>
      </w:r>
      <w:r>
        <w:rPr>
          <w:rFonts w:eastAsia="等线" w:ascii="Arial" w:cs="Arial" w:hAnsi="Arial"/>
          <w:sz w:val="22"/>
        </w:rPr>
        <w:t>模式，完成各功能模块开发后立即进行单元测试，所有模块开发完成后进行集成测试与压力测试，确保平台功能正常、性能稳定。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后端核心模块开发（认证、约战、赛事）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第2-3周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后端核心模块接口、接口测试报告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前端基础页面开发（注册、登录、首页）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第3-4周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前端基础页面、页面交互测试报告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后端剩余模块开发（战队、社区、运营后台）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第5-7周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全平台后端接口、接口联调报告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前端剩余页面开发（约战、赛事、战队、社区）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第7-9周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全平台前端页面、页面适配测试报告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第三方接口对接（支付、直播、存储）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第9-10周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第三方接口对接完成、功能测试报告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集成测试与压力测试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第11-12周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全组人员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《平台测试报告》、BUG修复清单、平台初版程序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7.2.3 阶段三：试运营与优化（第5-6个月，2026年X月-X月）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选择单区域3-5所高校进行试运营，收集用户反馈，持续优化平台功能与体验，完成平台正式上线的准备工作。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试运营高校筛选与推广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试运营高校用户池（5000+）、推广数据报告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平台试运营与用户反馈收集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第3-6周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全组人员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用户反馈清单、功能优化建议、运营数据统计报告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平台功能优化与BUG修复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第3-7周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平台优化版程序、优化记录报告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盈利功能上线与测试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第7-8周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技术+运营人员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盈利功能正常运行、付费数据统计报告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平台正式上线准备与部署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第9-10周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平台正式版程序、服务器部署完成、运营管理手册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8. 高校身份认证与用户管理方案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高校身份认证是平台打造专属校园电竞圈层的核心，用户/战队管理是平台日常运营的基础，本方案采用</w:t>
      </w:r>
      <w:r>
        <w:rPr>
          <w:rFonts w:eastAsia="等线" w:ascii="Arial" w:cs="Arial" w:hAnsi="Arial"/>
          <w:b w:val="true"/>
          <w:sz w:val="22"/>
        </w:rPr>
        <w:t>行业成熟、技术易实现、运营成本低</w:t>
      </w:r>
      <w:r>
        <w:rPr>
          <w:rFonts w:eastAsia="等线" w:ascii="Arial" w:cs="Arial" w:hAnsi="Arial"/>
          <w:sz w:val="22"/>
        </w:rPr>
        <w:t>的设计思路，搭建**“平台总控+校内分控”**的三级管理体系，确保高校圈层纯粹性，同时适配初期轻量运营需求。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8.1 高校身份认证方案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采用**“校园邮箱认证（核心）+学生证轻量审核（补充）”**的双重认证方式，覆盖99%以上的高校在校学生，技术零开发、运营成本低，认证精准度高。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8.1.1 核心认证：校园邮箱认证</w:t>
      </w:r>
      <w:bookmarkEnd w:id="5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平台后台预设</w:t>
      </w:r>
      <w:r>
        <w:rPr>
          <w:rFonts w:eastAsia="等线" w:ascii="Arial" w:cs="Arial" w:hAnsi="Arial"/>
          <w:b w:val="true"/>
          <w:sz w:val="22"/>
        </w:rPr>
        <w:t>全国高校校园邮箱域名库</w:t>
      </w:r>
      <w:r>
        <w:rPr>
          <w:rFonts w:eastAsia="等线" w:ascii="Arial" w:cs="Arial" w:hAnsi="Arial"/>
          <w:sz w:val="22"/>
        </w:rPr>
        <w:t>，用户注册时选择所属高校，自动匹配对应域名，填写校园邮箱账号；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平台向用户填写的校园邮箱发送</w:t>
      </w:r>
      <w:r>
        <w:rPr>
          <w:rFonts w:eastAsia="等线" w:ascii="Arial" w:cs="Arial" w:hAnsi="Arial"/>
          <w:b w:val="true"/>
          <w:sz w:val="22"/>
        </w:rPr>
        <w:t>验证验证码/链接</w:t>
      </w:r>
      <w:r>
        <w:rPr>
          <w:rFonts w:eastAsia="等线" w:ascii="Arial" w:cs="Arial" w:hAnsi="Arial"/>
          <w:sz w:val="22"/>
        </w:rPr>
        <w:t>，用户输入验证码/点击链接，验证通过后自动绑定所属高校，完成认证；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优势：技术零开发、认证精准（校园邮箱为高校专属，无法伪造）、用户体验好（操作仅3步）。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8.1.2 补充认证：学生证轻量审核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针对未开通校园邮箱的新生、专科院校学生，推出补充认证方式，仅需1名运营人员做人工轻审核，初期日均审核量≤50，运营成本低。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用户在认证页面上传</w:t>
      </w:r>
      <w:r>
        <w:rPr>
          <w:rFonts w:eastAsia="等线" w:ascii="Arial" w:cs="Arial" w:hAnsi="Arial"/>
          <w:b w:val="true"/>
          <w:sz w:val="22"/>
        </w:rPr>
        <w:t>学生证封面+个人信息页清晰照片</w:t>
      </w:r>
      <w:r>
        <w:rPr>
          <w:rFonts w:eastAsia="等线" w:ascii="Arial" w:cs="Arial" w:hAnsi="Arial"/>
          <w:sz w:val="22"/>
        </w:rPr>
        <w:t>，填写学号、专业、入学年份；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平台运营人员在后台进行人工轻审核，仅核对照片信息与填写信息是否一致，无需核查学籍系统，审核时效≤24小时；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审核通过后绑定所属高校，审核不通过则提示用户重新上传资料。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8.1.3 认证权益与约束</w:t>
      </w:r>
      <w:bookmarkEnd w:id="53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完成认证的用户：可使用平台所有核心功能（约战、赛事、战队、社区），享受会员付费权益，进入所属高校电竞专属圈层；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未完成认证的用户：仅可使用平台首页浏览、基础约战筛选功能，无法参与校内赛事、组建战队、购买付费服务，倒逼用户完成认证。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8.2 校内用户/战队标准化管理方案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完成高校身份认证后，按**“以高校为单位、平台总控+校内分控”</w:t>
      </w:r>
      <w:r>
        <w:rPr>
          <w:rFonts w:eastAsia="等线" w:ascii="Arial" w:cs="Arial" w:hAnsi="Arial"/>
          <w:b w:val="true"/>
          <w:sz w:val="22"/>
        </w:rPr>
        <w:t>的原则，搭建</w:t>
      </w:r>
      <w:r>
        <w:rPr>
          <w:rFonts w:eastAsia="等线" w:ascii="Arial" w:cs="Arial" w:hAnsi="Arial"/>
          <w:sz w:val="22"/>
        </w:rPr>
        <w:t>“平台管理员→校内管理员→战队队长”**三级管理体系，解决同一高校多用户、多战队的管理问题，适配初期轻量运营与后期规模扩张。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8.2.1 三级管理体系职责与权限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人员构成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项目组运营、技术人员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全平台认证审核、用户/战队/赛事数据总控、校内管理员招募授权、跨校运营、违规行为最终处理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全平台所有功能与数据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平台官方全职负责（初期1-2人即可）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校内管理员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高校电竞社团负责人、核心电竞爱好者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本校用户二次审核、本校战队备案管理、本校赛事审核推广、本校电竞社群运营、校内违规行为初步处理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仅所属高校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免费招募，给予平台终身会员、专属标识等权益激励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战队队长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战队创建者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本战队队员招募/管理、战队信息编辑、约战/赛事报名、战队战绩统计、队内权限分配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仅所属战队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战队创建者自动担任，可自由添加副队长下放权限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8.2.2 同一高校多用户管理</w:t>
      </w:r>
      <w:bookmarkEnd w:id="5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用户标签化</w:t>
      </w:r>
      <w:r>
        <w:rPr>
          <w:rFonts w:eastAsia="等线" w:ascii="Arial" w:cs="Arial" w:hAnsi="Arial"/>
          <w:sz w:val="22"/>
        </w:rPr>
        <w:t>：完成认证的用户自动生成专属标签（所属高校、专业、入学年份、游戏偏好、段位），平台与校内管理员可按标签精准筛选、管理；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校内用户池</w:t>
      </w:r>
      <w:r>
        <w:rPr>
          <w:rFonts w:eastAsia="等线" w:ascii="Arial" w:cs="Arial" w:hAnsi="Arial"/>
          <w:sz w:val="22"/>
        </w:rPr>
        <w:t>：每所高校自动生成专属校内用户池，所有本校用户统一归属，校内管理员可查看、管理本校用户池，平台管理员可查看所有高校用户池；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校内社交圈</w:t>
      </w:r>
      <w:r>
        <w:rPr>
          <w:rFonts w:eastAsia="等线" w:ascii="Arial" w:cs="Arial" w:hAnsi="Arial"/>
          <w:sz w:val="22"/>
        </w:rPr>
        <w:t>：本校用户自动进入所属高校电竞社交圈，仅可与同校用户进行约战、组队，也可自主开启跨校约战，兼顾圈层纯粹性与跨校互动性；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违规统一处理</w:t>
      </w:r>
      <w:r>
        <w:rPr>
          <w:rFonts w:eastAsia="等线" w:ascii="Arial" w:cs="Arial" w:hAnsi="Arial"/>
          <w:sz w:val="22"/>
        </w:rPr>
        <w:t>：制定《平台电竞行为规范》，校内用户出现违规行为（辱骂、外挂、冒充），校内管理员先做初步处理（警告、禁言），严重违规由平台管理员做最终处理（封号、取消认证），所有处理记录可追溯。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8.2.3 同一高校多战队管理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采用**“自主创建+校内备案”**的管理模式，既保障战队创建的灵活性，又避免校内战队混乱，初期轻量化运营，后期可逐步升级为精细化管理。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战队创建条件</w:t>
      </w:r>
      <w:r>
        <w:rPr>
          <w:rFonts w:eastAsia="等线" w:ascii="Arial" w:cs="Arial" w:hAnsi="Arial"/>
          <w:sz w:val="22"/>
        </w:rPr>
        <w:t>：用户完成高校身份认证后，可自主创建战队，填写战队名称、游戏项目、战队宣言，至少邀请1名同校用户作为队员，即可创建成功；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校内战队备案</w:t>
      </w:r>
      <w:r>
        <w:rPr>
          <w:rFonts w:eastAsia="等线" w:ascii="Arial" w:cs="Arial" w:hAnsi="Arial"/>
          <w:sz w:val="22"/>
        </w:rPr>
        <w:t>：战队创建成功后，自动进入所属高校战队备案库，校内管理员可查看本校所有战队信息，无需审核，仅做备案，降低运营成本；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战队标准化展示</w:t>
      </w:r>
      <w:r>
        <w:rPr>
          <w:rFonts w:eastAsia="等线" w:ascii="Arial" w:cs="Arial" w:hAnsi="Arial"/>
          <w:sz w:val="22"/>
        </w:rPr>
        <w:t>：所有战队自动生成标准化信息卡片（战队名称、高校、游戏项目、人数、战绩、排名），平台按赛事胜率、约战战绩生成校内战队排行榜，提升战队展示欲；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战队自主运营</w:t>
      </w:r>
      <w:r>
        <w:rPr>
          <w:rFonts w:eastAsia="等线" w:ascii="Arial" w:cs="Arial" w:hAnsi="Arial"/>
          <w:sz w:val="22"/>
        </w:rPr>
        <w:t>：战队队长拥有绝对管理权限，可自由招募/移除队员、修改战队信息、报名约战/赛事，平台与校内管理员仅做违规管理，不干预战队内部运营；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战队数据追溯</w:t>
      </w:r>
      <w:r>
        <w:rPr>
          <w:rFonts w:eastAsia="等线" w:ascii="Arial" w:cs="Arial" w:hAnsi="Arial"/>
          <w:sz w:val="22"/>
        </w:rPr>
        <w:t>：战队合并、解散操作后，自动同步至校内备案库，平台后台保留所有历史数据，支持战绩、参赛记录追溯。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9. 项目运营与推广策略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运营与推广以**“精准触达、低成本引流、高粘性留存”**为核心原则，聚焦高校电竞垂直圈层，依托高校电竞社团、校园新媒体、线下活动等渠道，实现从0到1的用户积累，同时通过精细化运营提升用户粘性，为C端盈利奠定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9.1 运营核心策略</w:t>
      </w:r>
      <w:bookmarkEnd w:id="59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校园本土化运营</w:t>
      </w:r>
      <w:r>
        <w:rPr>
          <w:rFonts w:eastAsia="等线" w:ascii="Arial" w:cs="Arial" w:hAnsi="Arial"/>
          <w:sz w:val="22"/>
        </w:rPr>
        <w:t>：每所高校招募校内管理员，实现校内用户/赛事/社群的自主运营，让运营更贴合本校学生需求，提升用户体验；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精细化用户运营</w:t>
      </w:r>
      <w:r>
        <w:rPr>
          <w:rFonts w:eastAsia="等线" w:ascii="Arial" w:cs="Arial" w:hAnsi="Arial"/>
          <w:sz w:val="22"/>
        </w:rPr>
        <w:t>：按用户类型（普通爱好者、战队选手、赛事组织者）做分层运营，针对不同用户推出个性化的功能与服务，提升用户粘性；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赛事驱动运营</w:t>
      </w:r>
      <w:r>
        <w:rPr>
          <w:rFonts w:eastAsia="等线" w:ascii="Arial" w:cs="Arial" w:hAnsi="Arial"/>
          <w:sz w:val="22"/>
        </w:rPr>
        <w:t>：以“校内赛为基础、校际赛为拓展”，打造平台专属赛事体系，通过赛事吸引用户参与，提升平台活跃度与传播性；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数据化运营</w:t>
      </w:r>
      <w:r>
        <w:rPr>
          <w:rFonts w:eastAsia="等线" w:ascii="Arial" w:cs="Arial" w:hAnsi="Arial"/>
          <w:sz w:val="22"/>
        </w:rPr>
        <w:t>：建立平台数据统计体系，实时监控用户注册、认证、约战、赛事、付费等数据，根据数据反馈优化平台功能与运营策略。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9.2 初期推广策略（0-3个月，低成本精准引流）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聚焦单区域3-5所高校，采用**“线上线下结合、社团合作为主、新媒体推广为辅”**的推广方式，实现核心用户快速积累，推广成本控制在5000元以内。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9.2.1 核心渠道：高校电竞社团合作（精准触达核心用户）</w:t>
      </w:r>
      <w:bookmarkEnd w:id="61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与目标高校电竞社团签订合作协议，将平台作为社团官方指定约战/赛事平台，社团为平台提供校内推广渠道；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为合作社团提供专属权益：社团战队免费高级会员、赛事专属推广、平台定制周边，激励社团推广积极性；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联合社团举办</w:t>
      </w:r>
      <w:r>
        <w:rPr>
          <w:rFonts w:eastAsia="等线" w:ascii="Arial" w:cs="Arial" w:hAnsi="Arial"/>
          <w:b w:val="true"/>
          <w:sz w:val="22"/>
        </w:rPr>
        <w:t>校内电竞迎新赛/对抗赛</w:t>
      </w:r>
      <w:r>
        <w:rPr>
          <w:rFonts w:eastAsia="等线" w:ascii="Arial" w:cs="Arial" w:hAnsi="Arial"/>
          <w:sz w:val="22"/>
        </w:rPr>
        <w:t>，以赛事为契机吸引社团成员与电竞爱好者注册使用平台，实现核心用户积累。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9.2.2 线上渠道：校园新媒体推广（低成本广覆盖）</w:t>
      </w:r>
      <w:bookmarkEnd w:id="62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校园自媒体</w:t>
      </w:r>
      <w:r>
        <w:rPr>
          <w:rFonts w:eastAsia="等线" w:ascii="Arial" w:cs="Arial" w:hAnsi="Arial"/>
          <w:sz w:val="22"/>
        </w:rPr>
        <w:t>：对接目标高校的校园公众号、抖音号、小红书号，发布平台推广文章/视频，按阅读量/播放量支付小额推广费（50-200元/篇）；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电竞社群</w:t>
      </w:r>
      <w:r>
        <w:rPr>
          <w:rFonts w:eastAsia="等线" w:ascii="Arial" w:cs="Arial" w:hAnsi="Arial"/>
          <w:sz w:val="22"/>
        </w:rPr>
        <w:t>：进入目标高校的电竞交流群、社团群、班级群，发布平台推广信息，配合红包福利、免费会员体验券，吸引用户注册；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平台裂变</w:t>
      </w:r>
      <w:r>
        <w:rPr>
          <w:rFonts w:eastAsia="等线" w:ascii="Arial" w:cs="Arial" w:hAnsi="Arial"/>
          <w:sz w:val="22"/>
        </w:rPr>
        <w:t>：推出“邀请好友注册认证，双方各得7天免费会员”的裂变活动，利用大学生的社交关系实现病毒式传播。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9.2.3 线下渠道：校园地推（高转化）</w:t>
      </w:r>
      <w:bookmarkEnd w:id="63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在目标高校的食堂、宿舍楼下、操场等人员密集区域开展地推活动，设置打卡点，用户现场注册认证即可获得小礼品（电竞钥匙扣、贴纸，成本≤5元/份）；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在地推现场举办</w:t>
      </w:r>
      <w:r>
        <w:rPr>
          <w:rFonts w:eastAsia="等线" w:ascii="Arial" w:cs="Arial" w:hAnsi="Arial"/>
          <w:b w:val="true"/>
          <w:sz w:val="22"/>
        </w:rPr>
        <w:t>迷你电竞挑战赛</w:t>
      </w:r>
      <w:r>
        <w:rPr>
          <w:rFonts w:eastAsia="等线" w:ascii="Arial" w:cs="Arial" w:hAnsi="Arial"/>
          <w:sz w:val="22"/>
        </w:rPr>
        <w:t>（如王者荣耀1v1、LOLsolo），获胜者可获得平台高级会员、电竞周边，吸引现场用户参与。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9.3 中期运营推广策略（3-6个月，用户增长与留存）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在核心用户积累的基础上，通过</w:t>
      </w:r>
      <w:r>
        <w:rPr>
          <w:rFonts w:eastAsia="等线" w:ascii="Arial" w:cs="Arial" w:hAnsi="Arial"/>
          <w:b w:val="true"/>
          <w:sz w:val="22"/>
        </w:rPr>
        <w:t>赛事运营、社群运营、内容运营</w:t>
      </w:r>
      <w:r>
        <w:rPr>
          <w:rFonts w:eastAsia="等线" w:ascii="Arial" w:cs="Arial" w:hAnsi="Arial"/>
          <w:sz w:val="22"/>
        </w:rPr>
        <w:t>提升平台活跃度与用户粘性，实现用户规模的快速扩张，同时验证C端盈利模式的可行性。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赛事运营</w:t>
      </w:r>
      <w:r>
        <w:rPr>
          <w:rFonts w:eastAsia="等线" w:ascii="Arial" w:cs="Arial" w:hAnsi="Arial"/>
          <w:sz w:val="22"/>
        </w:rPr>
        <w:t>：每月举办1场校内赛，每季度举办1场区域校际赛，设置轻量奖品（电竞周边、平台会员、校园商户优惠券），吸引用户参与，提升平台活跃度；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社群运营</w:t>
      </w:r>
      <w:r>
        <w:rPr>
          <w:rFonts w:eastAsia="等线" w:ascii="Arial" w:cs="Arial" w:hAnsi="Arial"/>
          <w:sz w:val="22"/>
        </w:rPr>
        <w:t>：为每所高校搭建专属电竞社群，由校内管理员负责日常运营，发布电竞资讯、赛事信息、平台福利，组织社群内约战活动，提升用户粘性；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内容运营</w:t>
      </w:r>
      <w:r>
        <w:rPr>
          <w:rFonts w:eastAsia="等线" w:ascii="Arial" w:cs="Arial" w:hAnsi="Arial"/>
          <w:sz w:val="22"/>
        </w:rPr>
        <w:t>：鼓励用户在平台社区发布电竞技巧、赛事复盘、高光时刻等内容，推出“优质内容创作者激励计划”，给予免费会员、虚拟道具等奖励，丰富平台内容生态；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盈利转化</w:t>
      </w:r>
      <w:r>
        <w:rPr>
          <w:rFonts w:eastAsia="等线" w:ascii="Arial" w:cs="Arial" w:hAnsi="Arial"/>
          <w:sz w:val="22"/>
        </w:rPr>
        <w:t>：针对高活跃度用户推出会员体验、增值服务优惠等活动，引导用户付费，验证C端盈利模式的可行性，逐步提升付费转化率。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10. 项目风险评估与应对措施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本项目在开发、运营、商业化过程中，可能面临</w:t>
      </w:r>
      <w:r>
        <w:rPr>
          <w:rFonts w:eastAsia="等线" w:ascii="Arial" w:cs="Arial" w:hAnsi="Arial"/>
          <w:b w:val="true"/>
          <w:sz w:val="22"/>
        </w:rPr>
        <w:t>技术、运营、市场、合规</w:t>
      </w:r>
      <w:r>
        <w:rPr>
          <w:rFonts w:eastAsia="等线" w:ascii="Arial" w:cs="Arial" w:hAnsi="Arial"/>
          <w:sz w:val="22"/>
        </w:rPr>
        <w:t>等方面的风险，项目组通过全面的风险评估，制定针对性的应对措施，确保项目平稳落地与可持续发展。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10.1 风险评估与应对措施表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具体风险点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多端适配出现兼容性问题；&lt;br&gt;2. 平台访问高峰期出现卡顿、崩溃；&lt;br&gt;3. 第三方接口对接失败、功能异常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开发阶段进行多端多次适配测试，针对不同浏览器、设备优化页面；&lt;br&gt;2. 采用Redis缓存优化，服务器支持弹性扩容，高峰期增加服务器配置；&lt;br&gt;3. 提前与第三方平台沟通，预留备用接口，开发接口异常容错机制，确保核心功能不受影响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高校身份认证审核效率低，影响用户体验；&lt;br&gt;2. 校内管理员招募困难，运营效率低；&lt;br&gt;3. 用户注册后活跃度低，留存率低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优化学生证审核流程，制定清晰的审核规则，提升审核效率，承诺24小时内审核完成；&lt;br&gt;2. 制定丰厚的校内管理员激励政策（终身会员、专属标识、福利优先），与电竞社团合作招募核心人员；&lt;br&gt;3. 推出新人福利、每日签到、约战打卡等活动，提升用户活跃度；通过赛事运营、社群运营增强用户粘性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同类校园电竞平台进入目标市场，引发竞争；&lt;br&gt;2. 大学生电竞需求发生变化，平台功能与需求脱节；&lt;br&gt;3. 校园电竞社团自行开发同类工具，分流用户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低-中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快速打造平台核心竞争力，强化高校身份认证与轻量化功能体系，提升用户体验，建立品牌壁垒；&lt;br&gt;2. 建立常态化用户需求收集机制，通过社群、问卷等方式收集用户反馈，快速迭代优化平台功能；&lt;br&gt;3. 与校园电竞社团深度合作，将平台作为社团官方工具，为社团提供专属服务，实现互利共赢，避免恶性竞争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盈利风险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大学生付费意愿低，C端盈利转化率未达预期；&lt;br&gt;2. 付费服务体验差，用户复购率低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优化付费服务权益，推出低门槛体验套餐，通过免费会员体验吸引用户付费；&lt;br&gt;2. 建立付费用户反馈机制，针对付费用户的需求优化服务体验，推出付费用户专属福利，提升复购率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用户上传内容出现违规信息（色情、暴力、辱骂）；&lt;br&gt;2. 第三方直播嵌入出现违规内容；&lt;br&gt;3. 平台数据收集与使用违反《个人信息保护法》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建立多层内容审核机制，机器初审+人工复审，设置敏感词过滤系统，及时删除违规内容；&lt;br&gt;2. 与第三方直播平台签订合作协议，明确直播内容审核责任，平台设置直播内容监控机制，发现违规立即下线；&lt;br&gt;3. 严格遵守《个人信息保护法》，仅收集必要的用户信息，明确用户信息使用范围，搭建安全的数据存储体系，防止数据泄露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10.2 风险监控与管理</w:t>
      </w:r>
      <w:bookmarkEnd w:id="67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成立项目风险监控小组，由项目负责人担任组长，实时监控项目开发、运营、商业化过程中的各类风险；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建立风险预警机制，针对各风险点设置预警指标，一旦指标触发，立即启动应对措施；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定期召开项目风险评估会议，每月对项目风险进行一次全面评估，更新风险应对措施，确保风险可控。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11. 项目资源需求与预算预估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本项目为校园创业项目，初期体量小、开发与运营成本低，预算预估遵循**“精打细算、按需投入、重点倾斜”</w:t>
      </w:r>
      <w:r>
        <w:rPr>
          <w:rFonts w:eastAsia="等线" w:ascii="Arial" w:cs="Arial" w:hAnsi="Arial"/>
          <w:b w:val="true"/>
          <w:sz w:val="22"/>
        </w:rPr>
        <w:t>的原则，核心预算投入至</w:t>
      </w:r>
      <w:r>
        <w:rPr>
          <w:rFonts w:eastAsia="等线" w:ascii="Arial" w:cs="Arial" w:hAnsi="Arial"/>
          <w:sz w:val="22"/>
        </w:rPr>
        <w:t>技术开发、服务器部署、推广运营</w:t>
      </w:r>
      <w:r>
        <w:rPr>
          <w:rFonts w:eastAsia="等线" w:ascii="Arial" w:cs="Arial" w:hAnsi="Arial"/>
          <w:b w:val="true"/>
          <w:sz w:val="22"/>
        </w:rPr>
        <w:t>三大核心环节，总预算预估为</w:t>
      </w:r>
      <w:r>
        <w:rPr>
          <w:rFonts w:eastAsia="等线" w:ascii="Arial" w:cs="Arial" w:hAnsi="Arial"/>
          <w:sz w:val="22"/>
        </w:rPr>
        <w:t>20000元**，所有预算均为初期试运营阶段的投入，后期根据项目发展情况逐步追加。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11.1 项目资源需求</w:t>
      </w:r>
      <w:bookmarkEnd w:id="69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人力资源</w:t>
      </w:r>
      <w:r>
        <w:rPr>
          <w:rFonts w:eastAsia="等线" w:ascii="Arial" w:cs="Arial" w:hAnsi="Arial"/>
          <w:sz w:val="22"/>
        </w:rPr>
        <w:t>：项目组共5-6人，分为技术开发组（2-3人，负责前端、后端、数据库开发）、设计组（1人，负责UI/UX设计）、运营组（1-2人，负责推广、审核、用户管理）；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技术资源</w:t>
      </w:r>
      <w:r>
        <w:rPr>
          <w:rFonts w:eastAsia="等线" w:ascii="Arial" w:cs="Arial" w:hAnsi="Arial"/>
          <w:sz w:val="22"/>
        </w:rPr>
        <w:t>：阿里云轻量应用服务器、阿里云OSS存储、微信支付/支付宝支付接口、B站直播嵌入API；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物料资源</w:t>
      </w:r>
      <w:r>
        <w:rPr>
          <w:rFonts w:eastAsia="等线" w:ascii="Arial" w:cs="Arial" w:hAnsi="Arial"/>
          <w:sz w:val="22"/>
        </w:rPr>
        <w:t>：地推小礼品、电竞周边奖品；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合作资源</w:t>
      </w:r>
      <w:r>
        <w:rPr>
          <w:rFonts w:eastAsia="等线" w:ascii="Arial" w:cs="Arial" w:hAnsi="Arial"/>
          <w:sz w:val="22"/>
        </w:rPr>
        <w:t>：高校电竞社团、校园新媒体、高校周边商户。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11.2 项目预算预估表（总预算：20000元）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预算科目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预算金额（元）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原型设计、UI设计、前后端开发、第三方接口对接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项目组人员为校内学生，成本为开发工具、资料购买等费用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服务器与存储成本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阿里云轻量应用服务器（6个月）、阿里云OSS存储（6个月）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按初期低访问量配置，后期可弹性扩容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推广运营成本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校园新媒体推广费；&lt;br&gt;2. 地推小礼品、电竞周边奖品；&lt;br&gt;3. 社团合作福利、赛事奖品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含裂变活动、线下挑战赛、校内赛/校际赛奖品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运营管理成本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人工审核、社群运营、数据统计等运营费用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初期运营人员为项目组内部人员，成本为办公耗材、通讯费等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应急储备金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应对项目开发、运营过程中的突发情况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仅用于突发风险应对，非必要不使用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11.3 预算管理</w:t>
      </w:r>
      <w:bookmarkEnd w:id="71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成立项目预算管理小组，由项目负责人担任组长，负责预算的申请、使用、审核与监控；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所有预算支出均需提前申请，经预算管理小组审核通过后方可使用，确保预算使用规范；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建立预算使用台账，详细记录每一笔预算支出的用途、金额、时间，每月进行一次预算使用情况复盘，优化预算使用效率。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12. 项目预期成果与效益分析</w:t>
      </w:r>
      <w:bookmarkEnd w:id="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12.1 项目预期成果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本项目建设周期6个月，试运营阶段完成后，预期实现以下核心成果，为平台后期规模化发展奠定基础：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平台产品成果</w:t>
      </w:r>
      <w:r>
        <w:rPr>
          <w:rFonts w:eastAsia="等线" w:ascii="Arial" w:cs="Arial" w:hAnsi="Arial"/>
          <w:sz w:val="22"/>
        </w:rPr>
        <w:t>：完成高校电竞约战赛事平台Web端、移动端H5/小程序的开发与上线，平台功能完善、性能稳定、体验良好，无重大BUG，多端适配率≥95%；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用户积累成果</w:t>
      </w:r>
      <w:r>
        <w:rPr>
          <w:rFonts w:eastAsia="等线" w:ascii="Arial" w:cs="Arial" w:hAnsi="Arial"/>
          <w:sz w:val="22"/>
        </w:rPr>
        <w:t>：单区域3-5所高校核心用户积累5000-10000人，高校身份认证完成率≥90%，平台月活跃用户≥3000人，日活跃用户≥500人；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运营体系成果</w:t>
      </w:r>
      <w:r>
        <w:rPr>
          <w:rFonts w:eastAsia="等线" w:ascii="Arial" w:cs="Arial" w:hAnsi="Arial"/>
          <w:sz w:val="22"/>
        </w:rPr>
        <w:t>：搭建完成“平台管理员→校内管理员→战队队长”三级管理体系，每所高校招募校内管理员1-2名，完成10+校内战队备案，每月举办1场校内赛，每季度举办1场区域校际赛；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盈利模式成果</w:t>
      </w:r>
      <w:r>
        <w:rPr>
          <w:rFonts w:eastAsia="等线" w:ascii="Arial" w:cs="Arial" w:hAnsi="Arial"/>
          <w:sz w:val="22"/>
        </w:rPr>
        <w:t>：完成C端核心盈利体系的落地与验证，会员付费转化率≥8%，赛事增值服务复购率≥15%，实现月均盈利≥3000元，累计盈利≥10000元，现金流稳定；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合作资源成果</w:t>
      </w:r>
      <w:r>
        <w:rPr>
          <w:rFonts w:eastAsia="等线" w:ascii="Arial" w:cs="Arial" w:hAnsi="Arial"/>
          <w:sz w:val="22"/>
        </w:rPr>
        <w:t>：与目标高校5+电竞社团建立深度合作，与10+高校周边商户达成合作意向，为中期B端合作变现奠定资源基础。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12.2 项目效益分析</w:t>
      </w:r>
      <w:bookmarkEnd w:id="7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12.2.1 经济效益</w:t>
      </w:r>
      <w:bookmarkEnd w:id="75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初期经济效益</w:t>
      </w:r>
      <w:r>
        <w:rPr>
          <w:rFonts w:eastAsia="等线" w:ascii="Arial" w:cs="Arial" w:hAnsi="Arial"/>
          <w:sz w:val="22"/>
        </w:rPr>
        <w:t>：试运营阶段实现月均盈利≥3000元，累计盈利≥10000元，完成初期现金流积累，验证了校园电竞垂直平台C端盈利模式的可行性；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中期经济效益</w:t>
      </w:r>
      <w:r>
        <w:rPr>
          <w:rFonts w:eastAsia="等线" w:ascii="Arial" w:cs="Arial" w:hAnsi="Arial"/>
          <w:sz w:val="22"/>
        </w:rPr>
        <w:t>：用户规模扩张至区域高校10万+后，通过C端盈利+B端合作，实现月均盈利≥50000元，成为校园电竞垂直领域的盈利性平台；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长期经济效益</w:t>
      </w:r>
      <w:r>
        <w:rPr>
          <w:rFonts w:eastAsia="等线" w:ascii="Arial" w:cs="Arial" w:hAnsi="Arial"/>
          <w:sz w:val="22"/>
        </w:rPr>
        <w:t>：打造全国性高校电竞平台后，通过自有赛事IP运营、电竞人才服务、数据服务等生态增值方式，实现盈利多元化，年盈利≥100万元，具备可持续的商业化发展能力。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12.2.2 社会效益</w:t>
      </w:r>
      <w:bookmarkEnd w:id="76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推动校园电竞文化健康发展</w:t>
      </w:r>
      <w:r>
        <w:rPr>
          <w:rFonts w:eastAsia="等线" w:ascii="Arial" w:cs="Arial" w:hAnsi="Arial"/>
          <w:sz w:val="22"/>
        </w:rPr>
        <w:t>：打造高校专属电竞平台，规范校园电竞赛事与约战行为，引导大学生理性电竞、健康电竞，改变社会对校园电竞的刻板印象；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丰富大学生课余生活</w:t>
      </w:r>
      <w:r>
        <w:rPr>
          <w:rFonts w:eastAsia="等线" w:ascii="Arial" w:cs="Arial" w:hAnsi="Arial"/>
          <w:sz w:val="22"/>
        </w:rPr>
        <w:t>：为大学生提供轻量化、社交化的电竞服务，满足大学生的电竞社交与娱乐需求，丰富大学生的课余生活；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提升大学生综合能力</w:t>
      </w:r>
      <w:r>
        <w:rPr>
          <w:rFonts w:eastAsia="等线" w:ascii="Arial" w:cs="Arial" w:hAnsi="Arial"/>
          <w:sz w:val="22"/>
        </w:rPr>
        <w:t>：通过平台赛事组织、战队运营、内容创作等功能，提升大学生的策划、组织、沟通、创作等综合能力，为大学生提供实践锻炼的机会；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促进校园资源整合</w:t>
      </w:r>
      <w:r>
        <w:rPr>
          <w:rFonts w:eastAsia="等线" w:ascii="Arial" w:cs="Arial" w:hAnsi="Arial"/>
          <w:sz w:val="22"/>
        </w:rPr>
        <w:t>：整合高校电竞社团、校园商户、电竞品牌等资源，搭建校园电竞生态平台，实现校园资源的优化配置与互利共赢。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12.2.3 项目价值</w:t>
      </w:r>
      <w:bookmarkEnd w:id="77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市场价值</w:t>
      </w:r>
      <w:r>
        <w:rPr>
          <w:rFonts w:eastAsia="等线" w:ascii="Arial" w:cs="Arial" w:hAnsi="Arial"/>
          <w:sz w:val="22"/>
        </w:rPr>
        <w:t>：填补了高校电竞垂直领域的市场空白，打造了国内高校电竞专属的标杆性平台，为校园电竞平台的开发与运营提供了可复制的模式；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技术价值</w:t>
      </w:r>
      <w:r>
        <w:rPr>
          <w:rFonts w:eastAsia="等线" w:ascii="Arial" w:cs="Arial" w:hAnsi="Arial"/>
          <w:sz w:val="22"/>
        </w:rPr>
        <w:t>：采用模块化架构、可配置化功能体系、弹性数据库设计，为校园轻创业项目的技术开发提供了轻量化、高可拓展性的技术参考；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创业价值</w:t>
      </w:r>
      <w:r>
        <w:rPr>
          <w:rFonts w:eastAsia="等线" w:ascii="Arial" w:cs="Arial" w:hAnsi="Arial"/>
          <w:sz w:val="22"/>
        </w:rPr>
        <w:t>：本项目为校园创业项目，依托大学生团队开发、运营，为大学生创业提供了实践机会，培养了大学生的创业意识与创业能力。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13. 立项结论与建议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13.1 立项结论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经项目组全面的市场调研、需求分析、技术论证、风险评估与效益分析，</w:t>
      </w:r>
      <w:r>
        <w:rPr>
          <w:rFonts w:eastAsia="等线" w:ascii="Arial" w:cs="Arial" w:hAnsi="Arial"/>
          <w:b w:val="true"/>
          <w:sz w:val="22"/>
        </w:rPr>
        <w:t>本高校电竞约战赛事平台项目具备明确的市场需求、清晰的定位、可行的技术方案、适配的盈利模式、可控的项目风险</w:t>
      </w:r>
      <w:r>
        <w:rPr>
          <w:rFonts w:eastAsia="等线" w:ascii="Arial" w:cs="Arial" w:hAnsi="Arial"/>
          <w:sz w:val="22"/>
        </w:rPr>
        <w:t>，同时项目初期开发与运营成本低、落地速度快，贴合校园创业项目的发展特点。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聚焦高校电竞垂直圈层，解决了高校电竞爱好者“约战无渠道、赛事无工具、圈层无纯粹性、资源无整合”的核心痛点，创新性打造了“约战+赛事+战队+交流”一体化轻量化功能体系与适配初期发展的C端盈利体系，具备显著的市场竞争力与发展潜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</w:t>
      </w:r>
      <w:r>
        <w:rPr>
          <w:rFonts w:eastAsia="等线" w:ascii="Arial" w:cs="Arial" w:hAnsi="Arial"/>
          <w:b w:val="true"/>
          <w:sz w:val="22"/>
        </w:rPr>
        <w:t>本项目立项条件成熟、可行性高</w:t>
      </w:r>
      <w:r>
        <w:rPr>
          <w:rFonts w:eastAsia="等线" w:ascii="Arial" w:cs="Arial" w:hAnsi="Arial"/>
          <w:sz w:val="22"/>
        </w:rPr>
        <w:t>，建议批准立项，项目组按本立项书的规划有序推进项目开发、运营与商业化工作。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13.2 项目实施建议</w:t>
      </w:r>
      <w:bookmarkEnd w:id="80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严控项目进度</w:t>
      </w:r>
      <w:r>
        <w:rPr>
          <w:rFonts w:eastAsia="等线" w:ascii="Arial" w:cs="Arial" w:hAnsi="Arial"/>
          <w:sz w:val="22"/>
        </w:rPr>
        <w:t>：严格按照项目实施规划的时间节点推进各阶段工作，成立项目进度监控小组，及时发现并解决项目开发、运营过程中的进度延误问题，确保项目按计划落地；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聚焦核心功能</w:t>
      </w:r>
      <w:r>
        <w:rPr>
          <w:rFonts w:eastAsia="等线" w:ascii="Arial" w:cs="Arial" w:hAnsi="Arial"/>
          <w:sz w:val="22"/>
        </w:rPr>
        <w:t>：初期开发聚焦约战、赛事、认证、战队四大核心功能，优先保障核心功能的稳定性与体验，非核心功能可在后期根据用户需求逐步迭代，避免因功能过多导致开发周期延长、成本增加；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强化用户体验</w:t>
      </w:r>
      <w:r>
        <w:rPr>
          <w:rFonts w:eastAsia="等线" w:ascii="Arial" w:cs="Arial" w:hAnsi="Arial"/>
          <w:sz w:val="22"/>
        </w:rPr>
        <w:t>：建立常态化用户需求收集机制，通过社群、问卷、用户反馈等方式收集用户意见，快速迭代优化平台功能与体验，提升用户满意度与粘性；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轻量运营优先</w:t>
      </w:r>
      <w:r>
        <w:rPr>
          <w:rFonts w:eastAsia="等线" w:ascii="Arial" w:cs="Arial" w:hAnsi="Arial"/>
          <w:sz w:val="22"/>
        </w:rPr>
        <w:t>：初期采用“平台搭台+校内运营”的轻量运营模式，充分发挥校内管理员的作用，降低平台运营成本，提升运营效率与校园本土化适配性；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风险提前防控</w:t>
      </w:r>
      <w:r>
        <w:rPr>
          <w:rFonts w:eastAsia="等线" w:ascii="Arial" w:cs="Arial" w:hAnsi="Arial"/>
          <w:sz w:val="22"/>
        </w:rPr>
        <w:t>：严格按照项目风险评估与应对措施，做好技术、运营、合规等方面的风险防控工作，建立风险预警与应急机制，确保项目平稳落地与可持续发展；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注重数据驱动</w:t>
      </w:r>
      <w:r>
        <w:rPr>
          <w:rFonts w:eastAsia="等线" w:ascii="Arial" w:cs="Arial" w:hAnsi="Arial"/>
          <w:sz w:val="22"/>
        </w:rPr>
        <w:t>：建立平台数据统计与分析体系，实时监控用户数据、运营数据、付费数据，根据数据反馈优化平台功能、运营策略与盈利模式，提升项目的精细化运营能力。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立项申请单位（盖章）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项目负责人签字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：2026年03月24日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审核意见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同意立项 □ 不同意立项 □ 需修改后再审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审核人签字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审核单位（盖章）</w:t>
      </w:r>
      <w:r>
        <w:rPr>
          <w:rFonts w:eastAsia="等线" w:ascii="Arial" w:cs="Arial" w:hAnsi="Arial"/>
          <w:sz w:val="22"/>
        </w:rPr>
        <w:t>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：2026年____月____日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534472">
    <w:lvl>
      <w:start w:val="1"/>
      <w:numFmt w:val="decimal"/>
      <w:suff w:val="tab"/>
      <w:lvlText w:val="%1."/>
      <w:rPr>
        <w:color w:val="3370ff"/>
      </w:rPr>
    </w:lvl>
  </w:abstractNum>
  <w:abstractNum w:abstractNumId="15534473">
    <w:lvl>
      <w:start w:val="2"/>
      <w:numFmt w:val="decimal"/>
      <w:suff w:val="tab"/>
      <w:lvlText w:val="%1."/>
      <w:rPr>
        <w:color w:val="3370ff"/>
      </w:rPr>
    </w:lvl>
  </w:abstractNum>
  <w:abstractNum w:abstractNumId="15534474">
    <w:lvl>
      <w:start w:val="3"/>
      <w:numFmt w:val="decimal"/>
      <w:suff w:val="tab"/>
      <w:lvlText w:val="%1."/>
      <w:rPr>
        <w:color w:val="3370ff"/>
      </w:rPr>
    </w:lvl>
  </w:abstractNum>
  <w:abstractNum w:abstractNumId="15534475">
    <w:lvl>
      <w:start w:val="4"/>
      <w:numFmt w:val="decimal"/>
      <w:suff w:val="tab"/>
      <w:lvlText w:val="%1."/>
      <w:rPr>
        <w:color w:val="3370ff"/>
      </w:rPr>
    </w:lvl>
  </w:abstractNum>
  <w:abstractNum w:abstractNumId="15534476">
    <w:lvl>
      <w:start w:val="5"/>
      <w:numFmt w:val="decimal"/>
      <w:suff w:val="tab"/>
      <w:lvlText w:val="%1."/>
      <w:rPr>
        <w:color w:val="3370ff"/>
      </w:rPr>
    </w:lvl>
  </w:abstractNum>
  <w:abstractNum w:abstractNumId="15534477">
    <w:lvl>
      <w:start w:val="6"/>
      <w:numFmt w:val="decimal"/>
      <w:suff w:val="tab"/>
      <w:lvlText w:val="%1."/>
      <w:rPr>
        <w:color w:val="3370ff"/>
      </w:rPr>
    </w:lvl>
  </w:abstractNum>
  <w:abstractNum w:abstractNumId="15534478">
    <w:lvl>
      <w:start w:val="7"/>
      <w:numFmt w:val="decimal"/>
      <w:suff w:val="tab"/>
      <w:lvlText w:val="%1."/>
      <w:rPr>
        <w:color w:val="3370ff"/>
      </w:rPr>
    </w:lvl>
  </w:abstractNum>
  <w:abstractNum w:abstractNumId="15534479">
    <w:lvl>
      <w:start w:val="8"/>
      <w:numFmt w:val="decimal"/>
      <w:suff w:val="tab"/>
      <w:lvlText w:val="%1."/>
      <w:rPr>
        <w:color w:val="3370ff"/>
      </w:rPr>
    </w:lvl>
  </w:abstractNum>
  <w:abstractNum w:abstractNumId="15534480">
    <w:lvl>
      <w:start w:val="9"/>
      <w:numFmt w:val="decimal"/>
      <w:suff w:val="tab"/>
      <w:lvlText w:val="%1."/>
      <w:rPr>
        <w:color w:val="3370ff"/>
      </w:rPr>
    </w:lvl>
  </w:abstractNum>
  <w:abstractNum w:abstractNumId="15534482">
    <w:lvl>
      <w:start w:val="10"/>
      <w:numFmt w:val="decimal"/>
      <w:suff w:val="tab"/>
      <w:lvlText w:val="%1."/>
      <w:rPr>
        <w:color w:val="3370ff"/>
      </w:rPr>
    </w:lvl>
  </w:abstractNum>
  <w:abstractNum w:abstractNumId="15534483">
    <w:lvl>
      <w:start w:val="11"/>
      <w:numFmt w:val="decimal"/>
      <w:suff w:val="tab"/>
      <w:lvlText w:val="%1."/>
      <w:rPr>
        <w:color w:val="3370ff"/>
      </w:rPr>
    </w:lvl>
  </w:abstractNum>
  <w:abstractNum w:abstractNumId="15534485">
    <w:lvl>
      <w:start w:val="12"/>
      <w:numFmt w:val="decimal"/>
      <w:suff w:val="tab"/>
      <w:lvlText w:val="%1."/>
      <w:rPr>
        <w:color w:val="3370ff"/>
      </w:rPr>
    </w:lvl>
  </w:abstractNum>
  <w:abstractNum w:abstractNumId="15534487">
    <w:lvl>
      <w:start w:val="13"/>
      <w:numFmt w:val="decimal"/>
      <w:suff w:val="tab"/>
      <w:lvlText w:val="%1."/>
      <w:rPr>
        <w:color w:val="3370ff"/>
      </w:rPr>
    </w:lvl>
  </w:abstractNum>
  <w:abstractNum w:abstractNumId="15534488">
    <w:lvl>
      <w:start w:val="1"/>
      <w:numFmt w:val="decimal"/>
      <w:suff w:val="tab"/>
      <w:lvlText w:val="%1."/>
      <w:rPr>
        <w:color w:val="3370ff"/>
      </w:rPr>
    </w:lvl>
  </w:abstractNum>
  <w:abstractNum w:abstractNumId="15534489">
    <w:lvl>
      <w:start w:val="2"/>
      <w:numFmt w:val="decimal"/>
      <w:suff w:val="tab"/>
      <w:lvlText w:val="%1."/>
      <w:rPr>
        <w:color w:val="3370ff"/>
      </w:rPr>
    </w:lvl>
  </w:abstractNum>
  <w:abstractNum w:abstractNumId="15534490">
    <w:lvl>
      <w:start w:val="3"/>
      <w:numFmt w:val="decimal"/>
      <w:suff w:val="tab"/>
      <w:lvlText w:val="%1."/>
      <w:rPr>
        <w:color w:val="3370ff"/>
      </w:rPr>
    </w:lvl>
  </w:abstractNum>
  <w:abstractNum w:abstractNumId="15534491">
    <w:lvl>
      <w:start w:val="4"/>
      <w:numFmt w:val="decimal"/>
      <w:suff w:val="tab"/>
      <w:lvlText w:val="%1."/>
      <w:rPr>
        <w:color w:val="3370ff"/>
      </w:rPr>
    </w:lvl>
  </w:abstractNum>
  <w:abstractNum w:abstractNumId="15534492">
    <w:lvl>
      <w:start w:val="1"/>
      <w:numFmt w:val="decimal"/>
      <w:suff w:val="tab"/>
      <w:lvlText w:val="%1."/>
      <w:rPr>
        <w:color w:val="3370ff"/>
      </w:rPr>
    </w:lvl>
  </w:abstractNum>
  <w:abstractNum w:abstractNumId="15534493">
    <w:lvl>
      <w:start w:val="2"/>
      <w:numFmt w:val="decimal"/>
      <w:suff w:val="tab"/>
      <w:lvlText w:val="%1."/>
      <w:rPr>
        <w:color w:val="3370ff"/>
      </w:rPr>
    </w:lvl>
  </w:abstractNum>
  <w:abstractNum w:abstractNumId="15534494">
    <w:lvl>
      <w:start w:val="3"/>
      <w:numFmt w:val="decimal"/>
      <w:suff w:val="tab"/>
      <w:lvlText w:val="%1."/>
      <w:rPr>
        <w:color w:val="3370ff"/>
      </w:rPr>
    </w:lvl>
  </w:abstractNum>
  <w:abstractNum w:abstractNumId="15534495">
    <w:lvl>
      <w:start w:val="4"/>
      <w:numFmt w:val="decimal"/>
      <w:suff w:val="tab"/>
      <w:lvlText w:val="%1."/>
      <w:rPr>
        <w:color w:val="3370ff"/>
      </w:rPr>
    </w:lvl>
  </w:abstractNum>
  <w:abstractNum w:abstractNumId="15534496">
    <w:lvl>
      <w:start w:val="1"/>
      <w:numFmt w:val="decimal"/>
      <w:suff w:val="tab"/>
      <w:lvlText w:val="%1."/>
      <w:rPr>
        <w:color w:val="3370ff"/>
      </w:rPr>
    </w:lvl>
  </w:abstractNum>
  <w:abstractNum w:abstractNumId="15534497">
    <w:lvl>
      <w:start w:val="2"/>
      <w:numFmt w:val="decimal"/>
      <w:suff w:val="tab"/>
      <w:lvlText w:val="%1."/>
      <w:rPr>
        <w:color w:val="3370ff"/>
      </w:rPr>
    </w:lvl>
  </w:abstractNum>
  <w:abstractNum w:abstractNumId="15534498">
    <w:lvl>
      <w:start w:val="3"/>
      <w:numFmt w:val="decimal"/>
      <w:suff w:val="tab"/>
      <w:lvlText w:val="%1."/>
      <w:rPr>
        <w:color w:val="3370ff"/>
      </w:rPr>
    </w:lvl>
  </w:abstractNum>
  <w:abstractNum w:abstractNumId="15534499">
    <w:lvl>
      <w:start w:val="4"/>
      <w:numFmt w:val="decimal"/>
      <w:suff w:val="tab"/>
      <w:lvlText w:val="%1."/>
      <w:rPr>
        <w:color w:val="3370ff"/>
      </w:rPr>
    </w:lvl>
  </w:abstractNum>
  <w:abstractNum w:abstractNumId="15534500">
    <w:lvl>
      <w:start w:val="5"/>
      <w:numFmt w:val="decimal"/>
      <w:suff w:val="tab"/>
      <w:lvlText w:val="%1."/>
      <w:rPr>
        <w:color w:val="3370ff"/>
      </w:rPr>
    </w:lvl>
  </w:abstractNum>
  <w:abstractNum w:abstractNumId="15534501">
    <w:lvl>
      <w:start w:val="6"/>
      <w:numFmt w:val="decimal"/>
      <w:suff w:val="tab"/>
      <w:lvlText w:val="%1."/>
      <w:rPr>
        <w:color w:val="3370ff"/>
      </w:rPr>
    </w:lvl>
  </w:abstractNum>
  <w:abstractNum w:abstractNumId="15534502">
    <w:lvl>
      <w:start w:val="7"/>
      <w:numFmt w:val="decimal"/>
      <w:suff w:val="tab"/>
      <w:lvlText w:val="%1."/>
      <w:rPr>
        <w:color w:val="3370ff"/>
      </w:rPr>
    </w:lvl>
  </w:abstractNum>
  <w:abstractNum w:abstractNumId="15534503">
    <w:lvl>
      <w:start w:val="8"/>
      <w:numFmt w:val="decimal"/>
      <w:suff w:val="tab"/>
      <w:lvlText w:val="%1."/>
      <w:rPr>
        <w:color w:val="3370ff"/>
      </w:rPr>
    </w:lvl>
  </w:abstractNum>
  <w:abstractNum w:abstractNumId="15534504">
    <w:lvl>
      <w:start w:val="9"/>
      <w:numFmt w:val="decimal"/>
      <w:suff w:val="tab"/>
      <w:lvlText w:val="%1."/>
      <w:rPr>
        <w:color w:val="3370ff"/>
      </w:rPr>
    </w:lvl>
  </w:abstractNum>
  <w:abstractNum w:abstractNumId="15534505">
    <w:lvl>
      <w:start w:val="1"/>
      <w:numFmt w:val="decimal"/>
      <w:suff w:val="tab"/>
      <w:lvlText w:val="%1."/>
      <w:rPr>
        <w:color w:val="3370ff"/>
      </w:rPr>
    </w:lvl>
  </w:abstractNum>
  <w:abstractNum w:abstractNumId="15534506">
    <w:lvl>
      <w:start w:val="2"/>
      <w:numFmt w:val="decimal"/>
      <w:suff w:val="tab"/>
      <w:lvlText w:val="%1."/>
      <w:rPr>
        <w:color w:val="3370ff"/>
      </w:rPr>
    </w:lvl>
  </w:abstractNum>
  <w:abstractNum w:abstractNumId="15534507">
    <w:lvl>
      <w:start w:val="3"/>
      <w:numFmt w:val="decimal"/>
      <w:suff w:val="tab"/>
      <w:lvlText w:val="%1."/>
      <w:rPr>
        <w:color w:val="3370ff"/>
      </w:rPr>
    </w:lvl>
  </w:abstractNum>
  <w:abstractNum w:abstractNumId="15534508">
    <w:lvl>
      <w:start w:val="4"/>
      <w:numFmt w:val="decimal"/>
      <w:suff w:val="tab"/>
      <w:lvlText w:val="%1."/>
      <w:rPr>
        <w:color w:val="3370ff"/>
      </w:rPr>
    </w:lvl>
  </w:abstractNum>
  <w:abstractNum w:abstractNumId="15534509">
    <w:lvl>
      <w:start w:val="5"/>
      <w:numFmt w:val="decimal"/>
      <w:suff w:val="tab"/>
      <w:lvlText w:val="%1."/>
      <w:rPr>
        <w:color w:val="3370ff"/>
      </w:rPr>
    </w:lvl>
  </w:abstractNum>
  <w:abstractNum w:abstractNumId="15534510">
    <w:lvl>
      <w:start w:val="6"/>
      <w:numFmt w:val="decimal"/>
      <w:suff w:val="tab"/>
      <w:lvlText w:val="%1."/>
      <w:rPr>
        <w:color w:val="3370ff"/>
      </w:rPr>
    </w:lvl>
  </w:abstractNum>
  <w:abstractNum w:abstractNumId="15534511">
    <w:lvl>
      <w:start w:val="7"/>
      <w:numFmt w:val="decimal"/>
      <w:suff w:val="tab"/>
      <w:lvlText w:val="%1."/>
      <w:rPr>
        <w:color w:val="3370ff"/>
      </w:rPr>
    </w:lvl>
  </w:abstractNum>
  <w:abstractNum w:abstractNumId="15534512">
    <w:lvl>
      <w:start w:val="1"/>
      <w:numFmt w:val="decimal"/>
      <w:suff w:val="tab"/>
      <w:lvlText w:val="%1."/>
      <w:rPr>
        <w:color w:val="3370ff"/>
      </w:rPr>
    </w:lvl>
  </w:abstractNum>
  <w:abstractNum w:abstractNumId="15534513">
    <w:lvl>
      <w:start w:val="2"/>
      <w:numFmt w:val="decimal"/>
      <w:suff w:val="tab"/>
      <w:lvlText w:val="%1."/>
      <w:rPr>
        <w:color w:val="3370ff"/>
      </w:rPr>
    </w:lvl>
  </w:abstractNum>
  <w:abstractNum w:abstractNumId="15534514">
    <w:lvl>
      <w:start w:val="3"/>
      <w:numFmt w:val="decimal"/>
      <w:suff w:val="tab"/>
      <w:lvlText w:val="%1."/>
      <w:rPr>
        <w:color w:val="3370ff"/>
      </w:rPr>
    </w:lvl>
  </w:abstractNum>
  <w:abstractNum w:abstractNumId="15534515">
    <w:lvl>
      <w:start w:val="4"/>
      <w:numFmt w:val="decimal"/>
      <w:suff w:val="tab"/>
      <w:lvlText w:val="%1."/>
      <w:rPr>
        <w:color w:val="3370ff"/>
      </w:rPr>
    </w:lvl>
  </w:abstractNum>
  <w:abstractNum w:abstractNumId="15534516">
    <w:lvl>
      <w:start w:val="1"/>
      <w:numFmt w:val="decimal"/>
      <w:suff w:val="tab"/>
      <w:lvlText w:val="%1."/>
      <w:rPr>
        <w:color w:val="3370ff"/>
      </w:rPr>
    </w:lvl>
  </w:abstractNum>
  <w:abstractNum w:abstractNumId="15534517">
    <w:lvl>
      <w:start w:val="2"/>
      <w:numFmt w:val="decimal"/>
      <w:suff w:val="tab"/>
      <w:lvlText w:val="%1."/>
      <w:rPr>
        <w:color w:val="3370ff"/>
      </w:rPr>
    </w:lvl>
  </w:abstractNum>
  <w:abstractNum w:abstractNumId="15534518">
    <w:lvl>
      <w:start w:val="3"/>
      <w:numFmt w:val="decimal"/>
      <w:suff w:val="tab"/>
      <w:lvlText w:val="%1."/>
      <w:rPr>
        <w:color w:val="3370ff"/>
      </w:rPr>
    </w:lvl>
  </w:abstractNum>
  <w:abstractNum w:abstractNumId="15534519">
    <w:lvl>
      <w:start w:val="4"/>
      <w:numFmt w:val="decimal"/>
      <w:suff w:val="tab"/>
      <w:lvlText w:val="%1."/>
      <w:rPr>
        <w:color w:val="3370ff"/>
      </w:rPr>
    </w:lvl>
  </w:abstractNum>
  <w:abstractNum w:abstractNumId="15534520">
    <w:lvl>
      <w:start w:val="5"/>
      <w:numFmt w:val="decimal"/>
      <w:suff w:val="tab"/>
      <w:lvlText w:val="%1."/>
      <w:rPr>
        <w:color w:val="3370ff"/>
      </w:rPr>
    </w:lvl>
  </w:abstractNum>
  <w:abstractNum w:abstractNumId="15534521">
    <w:lvl>
      <w:start w:val="1"/>
      <w:numFmt w:val="decimal"/>
      <w:suff w:val="tab"/>
      <w:lvlText w:val="%1."/>
      <w:rPr>
        <w:color w:val="3370ff"/>
      </w:rPr>
    </w:lvl>
  </w:abstractNum>
  <w:abstractNum w:abstractNumId="15534522">
    <w:lvl>
      <w:start w:val="2"/>
      <w:numFmt w:val="decimal"/>
      <w:suff w:val="tab"/>
      <w:lvlText w:val="%1."/>
      <w:rPr>
        <w:color w:val="3370ff"/>
      </w:rPr>
    </w:lvl>
  </w:abstractNum>
  <w:abstractNum w:abstractNumId="15534523">
    <w:lvl>
      <w:start w:val="3"/>
      <w:numFmt w:val="decimal"/>
      <w:suff w:val="tab"/>
      <w:lvlText w:val="%1."/>
      <w:rPr>
        <w:color w:val="3370ff"/>
      </w:rPr>
    </w:lvl>
  </w:abstractNum>
  <w:abstractNum w:abstractNumId="15534524">
    <w:lvl>
      <w:start w:val="4"/>
      <w:numFmt w:val="decimal"/>
      <w:suff w:val="tab"/>
      <w:lvlText w:val="%1."/>
      <w:rPr>
        <w:color w:val="3370ff"/>
      </w:rPr>
    </w:lvl>
  </w:abstractNum>
  <w:abstractNum w:abstractNumId="15534525">
    <w:lvl>
      <w:numFmt w:val="bullet"/>
      <w:suff w:val="tab"/>
      <w:lvlText w:val="•"/>
      <w:rPr>
        <w:color w:val="3370ff"/>
      </w:rPr>
    </w:lvl>
  </w:abstractNum>
  <w:abstractNum w:abstractNumId="15534526">
    <w:lvl>
      <w:numFmt w:val="bullet"/>
      <w:suff w:val="tab"/>
      <w:lvlText w:val="•"/>
      <w:rPr>
        <w:color w:val="3370ff"/>
      </w:rPr>
    </w:lvl>
  </w:abstractNum>
  <w:abstractNum w:abstractNumId="15534527">
    <w:lvl>
      <w:numFmt w:val="bullet"/>
      <w:suff w:val="tab"/>
      <w:lvlText w:val="•"/>
      <w:rPr>
        <w:color w:val="3370ff"/>
      </w:rPr>
    </w:lvl>
  </w:abstractNum>
  <w:abstractNum w:abstractNumId="15534528">
    <w:lvl>
      <w:numFmt w:val="bullet"/>
      <w:suff w:val="tab"/>
      <w:lvlText w:val="•"/>
      <w:rPr>
        <w:color w:val="3370ff"/>
      </w:rPr>
    </w:lvl>
  </w:abstractNum>
  <w:abstractNum w:abstractNumId="15534529">
    <w:lvl>
      <w:numFmt w:val="bullet"/>
      <w:suff w:val="tab"/>
      <w:lvlText w:val="•"/>
      <w:rPr>
        <w:color w:val="3370ff"/>
      </w:rPr>
    </w:lvl>
  </w:abstractNum>
  <w:abstractNum w:abstractNumId="15534530">
    <w:lvl>
      <w:numFmt w:val="bullet"/>
      <w:suff w:val="tab"/>
      <w:lvlText w:val="•"/>
      <w:rPr>
        <w:color w:val="3370ff"/>
      </w:rPr>
    </w:lvl>
  </w:abstractNum>
  <w:abstractNum w:abstractNumId="15534531">
    <w:lvl>
      <w:numFmt w:val="bullet"/>
      <w:suff w:val="tab"/>
      <w:lvlText w:val="•"/>
      <w:rPr>
        <w:color w:val="3370ff"/>
      </w:rPr>
    </w:lvl>
  </w:abstractNum>
  <w:abstractNum w:abstractNumId="15534532">
    <w:lvl>
      <w:numFmt w:val="bullet"/>
      <w:suff w:val="tab"/>
      <w:lvlText w:val="•"/>
      <w:rPr>
        <w:color w:val="3370ff"/>
      </w:rPr>
    </w:lvl>
  </w:abstractNum>
  <w:abstractNum w:abstractNumId="15534533">
    <w:lvl>
      <w:numFmt w:val="bullet"/>
      <w:suff w:val="tab"/>
      <w:lvlText w:val="•"/>
      <w:rPr>
        <w:color w:val="3370ff"/>
      </w:rPr>
    </w:lvl>
  </w:abstractNum>
  <w:abstractNum w:abstractNumId="15534534">
    <w:lvl>
      <w:start w:val="1"/>
      <w:numFmt w:val="decimal"/>
      <w:suff w:val="tab"/>
      <w:lvlText w:val="%1."/>
      <w:rPr>
        <w:color w:val="3370ff"/>
      </w:rPr>
    </w:lvl>
  </w:abstractNum>
  <w:abstractNum w:abstractNumId="15534535">
    <w:lvl>
      <w:start w:val="2"/>
      <w:numFmt w:val="decimal"/>
      <w:suff w:val="tab"/>
      <w:lvlText w:val="%1."/>
      <w:rPr>
        <w:color w:val="3370ff"/>
      </w:rPr>
    </w:lvl>
  </w:abstractNum>
  <w:abstractNum w:abstractNumId="15534536">
    <w:lvl>
      <w:start w:val="3"/>
      <w:numFmt w:val="decimal"/>
      <w:suff w:val="tab"/>
      <w:lvlText w:val="%1."/>
      <w:rPr>
        <w:color w:val="3370ff"/>
      </w:rPr>
    </w:lvl>
  </w:abstractNum>
  <w:abstractNum w:abstractNumId="15534537">
    <w:lvl>
      <w:start w:val="1"/>
      <w:numFmt w:val="decimal"/>
      <w:suff w:val="tab"/>
      <w:lvlText w:val="%1."/>
      <w:rPr>
        <w:color w:val="3370ff"/>
      </w:rPr>
    </w:lvl>
  </w:abstractNum>
  <w:abstractNum w:abstractNumId="15534538">
    <w:lvl>
      <w:start w:val="2"/>
      <w:numFmt w:val="decimal"/>
      <w:suff w:val="tab"/>
      <w:lvlText w:val="%1."/>
      <w:rPr>
        <w:color w:val="3370ff"/>
      </w:rPr>
    </w:lvl>
  </w:abstractNum>
  <w:abstractNum w:abstractNumId="15534539">
    <w:lvl>
      <w:start w:val="3"/>
      <w:numFmt w:val="decimal"/>
      <w:suff w:val="tab"/>
      <w:lvlText w:val="%1."/>
      <w:rPr>
        <w:color w:val="3370ff"/>
      </w:rPr>
    </w:lvl>
  </w:abstractNum>
  <w:abstractNum w:abstractNumId="15534540">
    <w:lvl>
      <w:start w:val="1"/>
      <w:numFmt w:val="decimal"/>
      <w:suff w:val="tab"/>
      <w:lvlText w:val="%1."/>
      <w:rPr>
        <w:color w:val="3370ff"/>
      </w:rPr>
    </w:lvl>
  </w:abstractNum>
  <w:abstractNum w:abstractNumId="15534541">
    <w:lvl>
      <w:start w:val="2"/>
      <w:numFmt w:val="decimal"/>
      <w:suff w:val="tab"/>
      <w:lvlText w:val="%1."/>
      <w:rPr>
        <w:color w:val="3370ff"/>
      </w:rPr>
    </w:lvl>
  </w:abstractNum>
  <w:abstractNum w:abstractNumId="15534542">
    <w:lvl>
      <w:start w:val="3"/>
      <w:numFmt w:val="decimal"/>
      <w:suff w:val="tab"/>
      <w:lvlText w:val="%1."/>
      <w:rPr>
        <w:color w:val="3370ff"/>
      </w:rPr>
    </w:lvl>
  </w:abstractNum>
  <w:abstractNum w:abstractNumId="15534543">
    <w:lvl>
      <w:start w:val="1"/>
      <w:numFmt w:val="decimal"/>
      <w:suff w:val="tab"/>
      <w:lvlText w:val="%1."/>
      <w:rPr>
        <w:color w:val="3370ff"/>
      </w:rPr>
    </w:lvl>
  </w:abstractNum>
  <w:abstractNum w:abstractNumId="15534544">
    <w:lvl>
      <w:start w:val="2"/>
      <w:numFmt w:val="decimal"/>
      <w:suff w:val="tab"/>
      <w:lvlText w:val="%1."/>
      <w:rPr>
        <w:color w:val="3370ff"/>
      </w:rPr>
    </w:lvl>
  </w:abstractNum>
  <w:abstractNum w:abstractNumId="15534545">
    <w:lvl>
      <w:start w:val="3"/>
      <w:numFmt w:val="decimal"/>
      <w:suff w:val="tab"/>
      <w:lvlText w:val="%1."/>
      <w:rPr>
        <w:color w:val="3370ff"/>
      </w:rPr>
    </w:lvl>
  </w:abstractNum>
  <w:abstractNum w:abstractNumId="15534546">
    <w:lvl>
      <w:start w:val="4"/>
      <w:numFmt w:val="decimal"/>
      <w:suff w:val="tab"/>
      <w:lvlText w:val="%1."/>
      <w:rPr>
        <w:color w:val="3370ff"/>
      </w:rPr>
    </w:lvl>
  </w:abstractNum>
  <w:abstractNum w:abstractNumId="15534547">
    <w:lvl>
      <w:start w:val="5"/>
      <w:numFmt w:val="decimal"/>
      <w:suff w:val="tab"/>
      <w:lvlText w:val="%1."/>
      <w:rPr>
        <w:color w:val="3370ff"/>
      </w:rPr>
    </w:lvl>
  </w:abstractNum>
  <w:abstractNum w:abstractNumId="15534548">
    <w:lvl>
      <w:start w:val="1"/>
      <w:numFmt w:val="decimal"/>
      <w:suff w:val="tab"/>
      <w:lvlText w:val="%1."/>
      <w:rPr>
        <w:color w:val="3370ff"/>
      </w:rPr>
    </w:lvl>
  </w:abstractNum>
  <w:abstractNum w:abstractNumId="15534549">
    <w:lvl>
      <w:start w:val="2"/>
      <w:numFmt w:val="decimal"/>
      <w:suff w:val="tab"/>
      <w:lvlText w:val="%1."/>
      <w:rPr>
        <w:color w:val="3370ff"/>
      </w:rPr>
    </w:lvl>
  </w:abstractNum>
  <w:abstractNum w:abstractNumId="15534550">
    <w:lvl>
      <w:start w:val="3"/>
      <w:numFmt w:val="decimal"/>
      <w:suff w:val="tab"/>
      <w:lvlText w:val="%1."/>
      <w:rPr>
        <w:color w:val="3370ff"/>
      </w:rPr>
    </w:lvl>
  </w:abstractNum>
  <w:abstractNum w:abstractNumId="15534551">
    <w:lvl>
      <w:start w:val="1"/>
      <w:numFmt w:val="decimal"/>
      <w:suff w:val="tab"/>
      <w:lvlText w:val="%1."/>
      <w:rPr>
        <w:color w:val="3370ff"/>
      </w:rPr>
    </w:lvl>
  </w:abstractNum>
  <w:abstractNum w:abstractNumId="15534552">
    <w:lvl>
      <w:start w:val="2"/>
      <w:numFmt w:val="decimal"/>
      <w:suff w:val="tab"/>
      <w:lvlText w:val="%1."/>
      <w:rPr>
        <w:color w:val="3370ff"/>
      </w:rPr>
    </w:lvl>
  </w:abstractNum>
  <w:abstractNum w:abstractNumId="15534553">
    <w:lvl>
      <w:start w:val="3"/>
      <w:numFmt w:val="decimal"/>
      <w:suff w:val="tab"/>
      <w:lvlText w:val="%1."/>
      <w:rPr>
        <w:color w:val="3370ff"/>
      </w:rPr>
    </w:lvl>
  </w:abstractNum>
  <w:abstractNum w:abstractNumId="15534554">
    <w:lvl>
      <w:start w:val="1"/>
      <w:numFmt w:val="decimal"/>
      <w:suff w:val="tab"/>
      <w:lvlText w:val="%1."/>
      <w:rPr>
        <w:color w:val="3370ff"/>
      </w:rPr>
    </w:lvl>
  </w:abstractNum>
  <w:abstractNum w:abstractNumId="15534555">
    <w:lvl>
      <w:start w:val="2"/>
      <w:numFmt w:val="decimal"/>
      <w:suff w:val="tab"/>
      <w:lvlText w:val="%1."/>
      <w:rPr>
        <w:color w:val="3370ff"/>
      </w:rPr>
    </w:lvl>
  </w:abstractNum>
  <w:abstractNum w:abstractNumId="15534556">
    <w:lvl>
      <w:start w:val="1"/>
      <w:numFmt w:val="decimal"/>
      <w:suff w:val="tab"/>
      <w:lvlText w:val="%1."/>
      <w:rPr>
        <w:color w:val="3370ff"/>
      </w:rPr>
    </w:lvl>
  </w:abstractNum>
  <w:abstractNum w:abstractNumId="15534557">
    <w:lvl>
      <w:start w:val="2"/>
      <w:numFmt w:val="decimal"/>
      <w:suff w:val="tab"/>
      <w:lvlText w:val="%1."/>
      <w:rPr>
        <w:color w:val="3370ff"/>
      </w:rPr>
    </w:lvl>
  </w:abstractNum>
  <w:abstractNum w:abstractNumId="15534558">
    <w:lvl>
      <w:start w:val="3"/>
      <w:numFmt w:val="decimal"/>
      <w:suff w:val="tab"/>
      <w:lvlText w:val="%1."/>
      <w:rPr>
        <w:color w:val="3370ff"/>
      </w:rPr>
    </w:lvl>
  </w:abstractNum>
  <w:abstractNum w:abstractNumId="15534559">
    <w:lvl>
      <w:start w:val="4"/>
      <w:numFmt w:val="decimal"/>
      <w:suff w:val="tab"/>
      <w:lvlText w:val="%1."/>
      <w:rPr>
        <w:color w:val="3370ff"/>
      </w:rPr>
    </w:lvl>
  </w:abstractNum>
  <w:abstractNum w:abstractNumId="15534560">
    <w:lvl>
      <w:start w:val="1"/>
      <w:numFmt w:val="decimal"/>
      <w:suff w:val="tab"/>
      <w:lvlText w:val="%1."/>
      <w:rPr>
        <w:color w:val="3370ff"/>
      </w:rPr>
    </w:lvl>
  </w:abstractNum>
  <w:abstractNum w:abstractNumId="15534561">
    <w:lvl>
      <w:start w:val="2"/>
      <w:numFmt w:val="decimal"/>
      <w:suff w:val="tab"/>
      <w:lvlText w:val="%1."/>
      <w:rPr>
        <w:color w:val="3370ff"/>
      </w:rPr>
    </w:lvl>
  </w:abstractNum>
  <w:abstractNum w:abstractNumId="15534562">
    <w:lvl>
      <w:start w:val="3"/>
      <w:numFmt w:val="decimal"/>
      <w:suff w:val="tab"/>
      <w:lvlText w:val="%1."/>
      <w:rPr>
        <w:color w:val="3370ff"/>
      </w:rPr>
    </w:lvl>
  </w:abstractNum>
  <w:abstractNum w:abstractNumId="15534563">
    <w:lvl>
      <w:start w:val="4"/>
      <w:numFmt w:val="decimal"/>
      <w:suff w:val="tab"/>
      <w:lvlText w:val="%1."/>
      <w:rPr>
        <w:color w:val="3370ff"/>
      </w:rPr>
    </w:lvl>
  </w:abstractNum>
  <w:abstractNum w:abstractNumId="15534564">
    <w:lvl>
      <w:start w:val="5"/>
      <w:numFmt w:val="decimal"/>
      <w:suff w:val="tab"/>
      <w:lvlText w:val="%1."/>
      <w:rPr>
        <w:color w:val="3370ff"/>
      </w:rPr>
    </w:lvl>
  </w:abstractNum>
  <w:abstractNum w:abstractNumId="15534565">
    <w:lvl>
      <w:start w:val="1"/>
      <w:numFmt w:val="decimal"/>
      <w:suff w:val="tab"/>
      <w:lvlText w:val="%1."/>
      <w:rPr>
        <w:color w:val="3370ff"/>
      </w:rPr>
    </w:lvl>
  </w:abstractNum>
  <w:abstractNum w:abstractNumId="15534566">
    <w:lvl>
      <w:start w:val="2"/>
      <w:numFmt w:val="decimal"/>
      <w:suff w:val="tab"/>
      <w:lvlText w:val="%1."/>
      <w:rPr>
        <w:color w:val="3370ff"/>
      </w:rPr>
    </w:lvl>
  </w:abstractNum>
  <w:abstractNum w:abstractNumId="15534567">
    <w:lvl>
      <w:start w:val="3"/>
      <w:numFmt w:val="decimal"/>
      <w:suff w:val="tab"/>
      <w:lvlText w:val="%1."/>
      <w:rPr>
        <w:color w:val="3370ff"/>
      </w:rPr>
    </w:lvl>
  </w:abstractNum>
  <w:abstractNum w:abstractNumId="15534568">
    <w:lvl>
      <w:start w:val="4"/>
      <w:numFmt w:val="decimal"/>
      <w:suff w:val="tab"/>
      <w:lvlText w:val="%1."/>
      <w:rPr>
        <w:color w:val="3370ff"/>
      </w:rPr>
    </w:lvl>
  </w:abstractNum>
  <w:abstractNum w:abstractNumId="15534569">
    <w:lvl>
      <w:start w:val="1"/>
      <w:numFmt w:val="decimal"/>
      <w:suff w:val="tab"/>
      <w:lvlText w:val="%1."/>
      <w:rPr>
        <w:color w:val="3370ff"/>
      </w:rPr>
    </w:lvl>
  </w:abstractNum>
  <w:abstractNum w:abstractNumId="15534570">
    <w:lvl>
      <w:start w:val="2"/>
      <w:numFmt w:val="decimal"/>
      <w:suff w:val="tab"/>
      <w:lvlText w:val="%1."/>
      <w:rPr>
        <w:color w:val="3370ff"/>
      </w:rPr>
    </w:lvl>
  </w:abstractNum>
  <w:abstractNum w:abstractNumId="15534571">
    <w:lvl>
      <w:start w:val="3"/>
      <w:numFmt w:val="decimal"/>
      <w:suff w:val="tab"/>
      <w:lvlText w:val="%1."/>
      <w:rPr>
        <w:color w:val="3370ff"/>
      </w:rPr>
    </w:lvl>
  </w:abstractNum>
  <w:abstractNum w:abstractNumId="15534572">
    <w:lvl>
      <w:start w:val="1"/>
      <w:numFmt w:val="decimal"/>
      <w:suff w:val="tab"/>
      <w:lvlText w:val="%1."/>
      <w:rPr>
        <w:color w:val="3370ff"/>
      </w:rPr>
    </w:lvl>
  </w:abstractNum>
  <w:abstractNum w:abstractNumId="15534573">
    <w:lvl>
      <w:start w:val="2"/>
      <w:numFmt w:val="decimal"/>
      <w:suff w:val="tab"/>
      <w:lvlText w:val="%1."/>
      <w:rPr>
        <w:color w:val="3370ff"/>
      </w:rPr>
    </w:lvl>
  </w:abstractNum>
  <w:abstractNum w:abstractNumId="15534574">
    <w:lvl>
      <w:start w:val="3"/>
      <w:numFmt w:val="decimal"/>
      <w:suff w:val="tab"/>
      <w:lvlText w:val="%1."/>
      <w:rPr>
        <w:color w:val="3370ff"/>
      </w:rPr>
    </w:lvl>
  </w:abstractNum>
  <w:abstractNum w:abstractNumId="15534575">
    <w:lvl>
      <w:start w:val="1"/>
      <w:numFmt w:val="decimal"/>
      <w:suff w:val="tab"/>
      <w:lvlText w:val="%1."/>
      <w:rPr>
        <w:color w:val="3370ff"/>
      </w:rPr>
    </w:lvl>
  </w:abstractNum>
  <w:abstractNum w:abstractNumId="15534576">
    <w:lvl>
      <w:start w:val="2"/>
      <w:numFmt w:val="decimal"/>
      <w:suff w:val="tab"/>
      <w:lvlText w:val="%1."/>
      <w:rPr>
        <w:color w:val="3370ff"/>
      </w:rPr>
    </w:lvl>
  </w:abstractNum>
  <w:abstractNum w:abstractNumId="15534577">
    <w:lvl>
      <w:start w:val="1"/>
      <w:numFmt w:val="decimal"/>
      <w:suff w:val="tab"/>
      <w:lvlText w:val="%1."/>
      <w:rPr>
        <w:color w:val="3370ff"/>
      </w:rPr>
    </w:lvl>
  </w:abstractNum>
  <w:abstractNum w:abstractNumId="15534578">
    <w:lvl>
      <w:start w:val="2"/>
      <w:numFmt w:val="decimal"/>
      <w:suff w:val="tab"/>
      <w:lvlText w:val="%1."/>
      <w:rPr>
        <w:color w:val="3370ff"/>
      </w:rPr>
    </w:lvl>
  </w:abstractNum>
  <w:abstractNum w:abstractNumId="15534579">
    <w:lvl>
      <w:start w:val="3"/>
      <w:numFmt w:val="decimal"/>
      <w:suff w:val="tab"/>
      <w:lvlText w:val="%1."/>
      <w:rPr>
        <w:color w:val="3370ff"/>
      </w:rPr>
    </w:lvl>
  </w:abstractNum>
  <w:abstractNum w:abstractNumId="15534580">
    <w:lvl>
      <w:start w:val="4"/>
      <w:numFmt w:val="decimal"/>
      <w:suff w:val="tab"/>
      <w:lvlText w:val="%1."/>
      <w:rPr>
        <w:color w:val="3370ff"/>
      </w:rPr>
    </w:lvl>
  </w:abstractNum>
  <w:abstractNum w:abstractNumId="15534581">
    <w:lvl>
      <w:start w:val="1"/>
      <w:numFmt w:val="decimal"/>
      <w:suff w:val="tab"/>
      <w:lvlText w:val="%1."/>
      <w:rPr>
        <w:color w:val="3370ff"/>
      </w:rPr>
    </w:lvl>
  </w:abstractNum>
  <w:abstractNum w:abstractNumId="15534582">
    <w:lvl>
      <w:start w:val="2"/>
      <w:numFmt w:val="decimal"/>
      <w:suff w:val="tab"/>
      <w:lvlText w:val="%1."/>
      <w:rPr>
        <w:color w:val="3370ff"/>
      </w:rPr>
    </w:lvl>
  </w:abstractNum>
  <w:abstractNum w:abstractNumId="15534583">
    <w:lvl>
      <w:start w:val="3"/>
      <w:numFmt w:val="decimal"/>
      <w:suff w:val="tab"/>
      <w:lvlText w:val="%1."/>
      <w:rPr>
        <w:color w:val="3370ff"/>
      </w:rPr>
    </w:lvl>
  </w:abstractNum>
  <w:abstractNum w:abstractNumId="15534584">
    <w:lvl>
      <w:start w:val="1"/>
      <w:numFmt w:val="decimal"/>
      <w:suff w:val="tab"/>
      <w:lvlText w:val="%1."/>
      <w:rPr>
        <w:color w:val="3370ff"/>
      </w:rPr>
    </w:lvl>
  </w:abstractNum>
  <w:abstractNum w:abstractNumId="15534585">
    <w:lvl>
      <w:start w:val="2"/>
      <w:numFmt w:val="decimal"/>
      <w:suff w:val="tab"/>
      <w:lvlText w:val="%1."/>
      <w:rPr>
        <w:color w:val="3370ff"/>
      </w:rPr>
    </w:lvl>
  </w:abstractNum>
  <w:abstractNum w:abstractNumId="15534586">
    <w:lvl>
      <w:start w:val="3"/>
      <w:numFmt w:val="decimal"/>
      <w:suff w:val="tab"/>
      <w:lvlText w:val="%1."/>
      <w:rPr>
        <w:color w:val="3370ff"/>
      </w:rPr>
    </w:lvl>
  </w:abstractNum>
  <w:abstractNum w:abstractNumId="15534587">
    <w:lvl>
      <w:start w:val="4"/>
      <w:numFmt w:val="decimal"/>
      <w:suff w:val="tab"/>
      <w:lvlText w:val="%1."/>
      <w:rPr>
        <w:color w:val="3370ff"/>
      </w:rPr>
    </w:lvl>
  </w:abstractNum>
  <w:abstractNum w:abstractNumId="15534588">
    <w:lvl>
      <w:start w:val="1"/>
      <w:numFmt w:val="decimal"/>
      <w:suff w:val="tab"/>
      <w:lvlText w:val="%1."/>
      <w:rPr>
        <w:color w:val="3370ff"/>
      </w:rPr>
    </w:lvl>
  </w:abstractNum>
  <w:abstractNum w:abstractNumId="15534589">
    <w:lvl>
      <w:start w:val="2"/>
      <w:numFmt w:val="decimal"/>
      <w:suff w:val="tab"/>
      <w:lvlText w:val="%1."/>
      <w:rPr>
        <w:color w:val="3370ff"/>
      </w:rPr>
    </w:lvl>
  </w:abstractNum>
  <w:abstractNum w:abstractNumId="15534590">
    <w:lvl>
      <w:start w:val="3"/>
      <w:numFmt w:val="decimal"/>
      <w:suff w:val="tab"/>
      <w:lvlText w:val="%1."/>
      <w:rPr>
        <w:color w:val="3370ff"/>
      </w:rPr>
    </w:lvl>
  </w:abstractNum>
  <w:abstractNum w:abstractNumId="15534591">
    <w:lvl>
      <w:start w:val="1"/>
      <w:numFmt w:val="decimal"/>
      <w:suff w:val="tab"/>
      <w:lvlText w:val="%1."/>
      <w:rPr>
        <w:color w:val="3370ff"/>
      </w:rPr>
    </w:lvl>
  </w:abstractNum>
  <w:abstractNum w:abstractNumId="15534592">
    <w:lvl>
      <w:start w:val="2"/>
      <w:numFmt w:val="decimal"/>
      <w:suff w:val="tab"/>
      <w:lvlText w:val="%1."/>
      <w:rPr>
        <w:color w:val="3370ff"/>
      </w:rPr>
    </w:lvl>
  </w:abstractNum>
  <w:abstractNum w:abstractNumId="15534593">
    <w:lvl>
      <w:start w:val="3"/>
      <w:numFmt w:val="decimal"/>
      <w:suff w:val="tab"/>
      <w:lvlText w:val="%1."/>
      <w:rPr>
        <w:color w:val="3370ff"/>
      </w:rPr>
    </w:lvl>
  </w:abstractNum>
  <w:abstractNum w:abstractNumId="15534594">
    <w:lvl>
      <w:start w:val="4"/>
      <w:numFmt w:val="decimal"/>
      <w:suff w:val="tab"/>
      <w:lvlText w:val="%1."/>
      <w:rPr>
        <w:color w:val="3370ff"/>
      </w:rPr>
    </w:lvl>
  </w:abstractNum>
  <w:abstractNum w:abstractNumId="15534595">
    <w:lvl>
      <w:start w:val="5"/>
      <w:numFmt w:val="decimal"/>
      <w:suff w:val="tab"/>
      <w:lvlText w:val="%1."/>
      <w:rPr>
        <w:color w:val="3370ff"/>
      </w:rPr>
    </w:lvl>
  </w:abstractNum>
  <w:abstractNum w:abstractNumId="15534596">
    <w:lvl>
      <w:start w:val="1"/>
      <w:numFmt w:val="decimal"/>
      <w:suff w:val="tab"/>
      <w:lvlText w:val="%1."/>
      <w:rPr>
        <w:color w:val="3370ff"/>
      </w:rPr>
    </w:lvl>
  </w:abstractNum>
  <w:abstractNum w:abstractNumId="15534597">
    <w:lvl>
      <w:start w:val="2"/>
      <w:numFmt w:val="decimal"/>
      <w:suff w:val="tab"/>
      <w:lvlText w:val="%1."/>
      <w:rPr>
        <w:color w:val="3370ff"/>
      </w:rPr>
    </w:lvl>
  </w:abstractNum>
  <w:abstractNum w:abstractNumId="15534598">
    <w:lvl>
      <w:start w:val="3"/>
      <w:numFmt w:val="decimal"/>
      <w:suff w:val="tab"/>
      <w:lvlText w:val="%1."/>
      <w:rPr>
        <w:color w:val="3370ff"/>
      </w:rPr>
    </w:lvl>
  </w:abstractNum>
  <w:abstractNum w:abstractNumId="15534599">
    <w:lvl>
      <w:start w:val="1"/>
      <w:numFmt w:val="decimal"/>
      <w:suff w:val="tab"/>
      <w:lvlText w:val="%1."/>
      <w:rPr>
        <w:color w:val="3370ff"/>
      </w:rPr>
    </w:lvl>
  </w:abstractNum>
  <w:abstractNum w:abstractNumId="15534600">
    <w:lvl>
      <w:start w:val="2"/>
      <w:numFmt w:val="decimal"/>
      <w:suff w:val="tab"/>
      <w:lvlText w:val="%1."/>
      <w:rPr>
        <w:color w:val="3370ff"/>
      </w:rPr>
    </w:lvl>
  </w:abstractNum>
  <w:abstractNum w:abstractNumId="15534601">
    <w:lvl>
      <w:start w:val="3"/>
      <w:numFmt w:val="decimal"/>
      <w:suff w:val="tab"/>
      <w:lvlText w:val="%1."/>
      <w:rPr>
        <w:color w:val="3370ff"/>
      </w:rPr>
    </w:lvl>
  </w:abstractNum>
  <w:abstractNum w:abstractNumId="15534602">
    <w:lvl>
      <w:start w:val="4"/>
      <w:numFmt w:val="decimal"/>
      <w:suff w:val="tab"/>
      <w:lvlText w:val="%1."/>
      <w:rPr>
        <w:color w:val="3370ff"/>
      </w:rPr>
    </w:lvl>
  </w:abstractNum>
  <w:abstractNum w:abstractNumId="15534603">
    <w:lvl>
      <w:start w:val="1"/>
      <w:numFmt w:val="decimal"/>
      <w:suff w:val="tab"/>
      <w:lvlText w:val="%1."/>
      <w:rPr>
        <w:color w:val="3370ff"/>
      </w:rPr>
    </w:lvl>
  </w:abstractNum>
  <w:abstractNum w:abstractNumId="15534604">
    <w:lvl>
      <w:start w:val="2"/>
      <w:numFmt w:val="decimal"/>
      <w:suff w:val="tab"/>
      <w:lvlText w:val="%1."/>
      <w:rPr>
        <w:color w:val="3370ff"/>
      </w:rPr>
    </w:lvl>
  </w:abstractNum>
  <w:abstractNum w:abstractNumId="15534605">
    <w:lvl>
      <w:start w:val="3"/>
      <w:numFmt w:val="decimal"/>
      <w:suff w:val="tab"/>
      <w:lvlText w:val="%1."/>
      <w:rPr>
        <w:color w:val="3370ff"/>
      </w:rPr>
    </w:lvl>
  </w:abstractNum>
  <w:abstractNum w:abstractNumId="15534606">
    <w:lvl>
      <w:start w:val="1"/>
      <w:numFmt w:val="decimal"/>
      <w:suff w:val="tab"/>
      <w:lvlText w:val="%1."/>
      <w:rPr>
        <w:color w:val="3370ff"/>
      </w:rPr>
    </w:lvl>
  </w:abstractNum>
  <w:abstractNum w:abstractNumId="15534607">
    <w:lvl>
      <w:start w:val="2"/>
      <w:numFmt w:val="decimal"/>
      <w:suff w:val="tab"/>
      <w:lvlText w:val="%1."/>
      <w:rPr>
        <w:color w:val="3370ff"/>
      </w:rPr>
    </w:lvl>
  </w:abstractNum>
  <w:abstractNum w:abstractNumId="15534608">
    <w:lvl>
      <w:start w:val="3"/>
      <w:numFmt w:val="decimal"/>
      <w:suff w:val="tab"/>
      <w:lvlText w:val="%1."/>
      <w:rPr>
        <w:color w:val="3370ff"/>
      </w:rPr>
    </w:lvl>
  </w:abstractNum>
  <w:abstractNum w:abstractNumId="15534609">
    <w:lvl>
      <w:start w:val="4"/>
      <w:numFmt w:val="decimal"/>
      <w:suff w:val="tab"/>
      <w:lvlText w:val="%1."/>
      <w:rPr>
        <w:color w:val="3370ff"/>
      </w:rPr>
    </w:lvl>
  </w:abstractNum>
  <w:abstractNum w:abstractNumId="15534610">
    <w:lvl>
      <w:start w:val="5"/>
      <w:numFmt w:val="decimal"/>
      <w:suff w:val="tab"/>
      <w:lvlText w:val="%1."/>
      <w:rPr>
        <w:color w:val="3370ff"/>
      </w:rPr>
    </w:lvl>
  </w:abstractNum>
  <w:abstractNum w:abstractNumId="1553461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5534472"/>
  </w:num>
  <w:num w:numId="2">
    <w:abstractNumId w:val="15534473"/>
  </w:num>
  <w:num w:numId="3">
    <w:abstractNumId w:val="15534474"/>
  </w:num>
  <w:num w:numId="4">
    <w:abstractNumId w:val="15534475"/>
  </w:num>
  <w:num w:numId="5">
    <w:abstractNumId w:val="15534476"/>
  </w:num>
  <w:num w:numId="6">
    <w:abstractNumId w:val="15534477"/>
  </w:num>
  <w:num w:numId="7">
    <w:abstractNumId w:val="15534478"/>
  </w:num>
  <w:num w:numId="8">
    <w:abstractNumId w:val="15534479"/>
  </w:num>
  <w:num w:numId="9">
    <w:abstractNumId w:val="15534480"/>
  </w:num>
  <w:num w:numId="10">
    <w:abstractNumId w:val="15534482"/>
  </w:num>
  <w:num w:numId="11">
    <w:abstractNumId w:val="15534483"/>
  </w:num>
  <w:num w:numId="12">
    <w:abstractNumId w:val="15534485"/>
  </w:num>
  <w:num w:numId="13">
    <w:abstractNumId w:val="15534487"/>
  </w:num>
  <w:num w:numId="14">
    <w:abstractNumId w:val="15534488"/>
  </w:num>
  <w:num w:numId="15">
    <w:abstractNumId w:val="15534489"/>
  </w:num>
  <w:num w:numId="16">
    <w:abstractNumId w:val="15534490"/>
  </w:num>
  <w:num w:numId="17">
    <w:abstractNumId w:val="15534491"/>
  </w:num>
  <w:num w:numId="18">
    <w:abstractNumId w:val="15534492"/>
  </w:num>
  <w:num w:numId="19">
    <w:abstractNumId w:val="15534493"/>
  </w:num>
  <w:num w:numId="20">
    <w:abstractNumId w:val="15534494"/>
  </w:num>
  <w:num w:numId="21">
    <w:abstractNumId w:val="15534495"/>
  </w:num>
  <w:num w:numId="22">
    <w:abstractNumId w:val="15534496"/>
  </w:num>
  <w:num w:numId="23">
    <w:abstractNumId w:val="15534497"/>
  </w:num>
  <w:num w:numId="24">
    <w:abstractNumId w:val="15534498"/>
  </w:num>
  <w:num w:numId="25">
    <w:abstractNumId w:val="15534499"/>
  </w:num>
  <w:num w:numId="26">
    <w:abstractNumId w:val="15534500"/>
  </w:num>
  <w:num w:numId="27">
    <w:abstractNumId w:val="15534501"/>
  </w:num>
  <w:num w:numId="28">
    <w:abstractNumId w:val="15534502"/>
  </w:num>
  <w:num w:numId="29">
    <w:abstractNumId w:val="15534503"/>
  </w:num>
  <w:num w:numId="30">
    <w:abstractNumId w:val="15534504"/>
  </w:num>
  <w:num w:numId="31">
    <w:abstractNumId w:val="15534505"/>
  </w:num>
  <w:num w:numId="32">
    <w:abstractNumId w:val="15534506"/>
  </w:num>
  <w:num w:numId="33">
    <w:abstractNumId w:val="15534507"/>
  </w:num>
  <w:num w:numId="34">
    <w:abstractNumId w:val="15534508"/>
  </w:num>
  <w:num w:numId="35">
    <w:abstractNumId w:val="15534509"/>
  </w:num>
  <w:num w:numId="36">
    <w:abstractNumId w:val="15534510"/>
  </w:num>
  <w:num w:numId="37">
    <w:abstractNumId w:val="15534511"/>
  </w:num>
  <w:num w:numId="38">
    <w:abstractNumId w:val="15534512"/>
  </w:num>
  <w:num w:numId="39">
    <w:abstractNumId w:val="15534513"/>
  </w:num>
  <w:num w:numId="40">
    <w:abstractNumId w:val="15534514"/>
  </w:num>
  <w:num w:numId="41">
    <w:abstractNumId w:val="15534515"/>
  </w:num>
  <w:num w:numId="42">
    <w:abstractNumId w:val="15534516"/>
  </w:num>
  <w:num w:numId="43">
    <w:abstractNumId w:val="15534517"/>
  </w:num>
  <w:num w:numId="44">
    <w:abstractNumId w:val="15534518"/>
  </w:num>
  <w:num w:numId="45">
    <w:abstractNumId w:val="15534519"/>
  </w:num>
  <w:num w:numId="46">
    <w:abstractNumId w:val="15534520"/>
  </w:num>
  <w:num w:numId="47">
    <w:abstractNumId w:val="15534521"/>
  </w:num>
  <w:num w:numId="48">
    <w:abstractNumId w:val="15534522"/>
  </w:num>
  <w:num w:numId="49">
    <w:abstractNumId w:val="15534523"/>
  </w:num>
  <w:num w:numId="50">
    <w:abstractNumId w:val="15534524"/>
  </w:num>
  <w:num w:numId="51">
    <w:abstractNumId w:val="15534525"/>
  </w:num>
  <w:num w:numId="52">
    <w:abstractNumId w:val="15534526"/>
  </w:num>
  <w:num w:numId="53">
    <w:abstractNumId w:val="15534527"/>
  </w:num>
  <w:num w:numId="54">
    <w:abstractNumId w:val="15534528"/>
  </w:num>
  <w:num w:numId="55">
    <w:abstractNumId w:val="15534529"/>
  </w:num>
  <w:num w:numId="56">
    <w:abstractNumId w:val="15534530"/>
  </w:num>
  <w:num w:numId="57">
    <w:abstractNumId w:val="15534531"/>
  </w:num>
  <w:num w:numId="58">
    <w:abstractNumId w:val="15534532"/>
  </w:num>
  <w:num w:numId="59">
    <w:abstractNumId w:val="15534533"/>
  </w:num>
  <w:num w:numId="60">
    <w:abstractNumId w:val="15534534"/>
  </w:num>
  <w:num w:numId="61">
    <w:abstractNumId w:val="15534535"/>
  </w:num>
  <w:num w:numId="62">
    <w:abstractNumId w:val="15534536"/>
  </w:num>
  <w:num w:numId="63">
    <w:abstractNumId w:val="15534537"/>
  </w:num>
  <w:num w:numId="64">
    <w:abstractNumId w:val="15534538"/>
  </w:num>
  <w:num w:numId="65">
    <w:abstractNumId w:val="15534539"/>
  </w:num>
  <w:num w:numId="66">
    <w:abstractNumId w:val="15534540"/>
  </w:num>
  <w:num w:numId="67">
    <w:abstractNumId w:val="15534541"/>
  </w:num>
  <w:num w:numId="68">
    <w:abstractNumId w:val="15534542"/>
  </w:num>
  <w:num w:numId="69">
    <w:abstractNumId w:val="15534543"/>
  </w:num>
  <w:num w:numId="70">
    <w:abstractNumId w:val="15534544"/>
  </w:num>
  <w:num w:numId="71">
    <w:abstractNumId w:val="15534545"/>
  </w:num>
  <w:num w:numId="72">
    <w:abstractNumId w:val="15534546"/>
  </w:num>
  <w:num w:numId="73">
    <w:abstractNumId w:val="15534547"/>
  </w:num>
  <w:num w:numId="74">
    <w:abstractNumId w:val="15534548"/>
  </w:num>
  <w:num w:numId="75">
    <w:abstractNumId w:val="15534549"/>
  </w:num>
  <w:num w:numId="76">
    <w:abstractNumId w:val="15534550"/>
  </w:num>
  <w:num w:numId="77">
    <w:abstractNumId w:val="15534551"/>
  </w:num>
  <w:num w:numId="78">
    <w:abstractNumId w:val="15534552"/>
  </w:num>
  <w:num w:numId="79">
    <w:abstractNumId w:val="15534553"/>
  </w:num>
  <w:num w:numId="80">
    <w:abstractNumId w:val="15534554"/>
  </w:num>
  <w:num w:numId="81">
    <w:abstractNumId w:val="15534555"/>
  </w:num>
  <w:num w:numId="82">
    <w:abstractNumId w:val="15534556"/>
  </w:num>
  <w:num w:numId="83">
    <w:abstractNumId w:val="15534557"/>
  </w:num>
  <w:num w:numId="84">
    <w:abstractNumId w:val="15534558"/>
  </w:num>
  <w:num w:numId="85">
    <w:abstractNumId w:val="15534559"/>
  </w:num>
  <w:num w:numId="86">
    <w:abstractNumId w:val="15534560"/>
  </w:num>
  <w:num w:numId="87">
    <w:abstractNumId w:val="15534561"/>
  </w:num>
  <w:num w:numId="88">
    <w:abstractNumId w:val="15534562"/>
  </w:num>
  <w:num w:numId="89">
    <w:abstractNumId w:val="15534563"/>
  </w:num>
  <w:num w:numId="90">
    <w:abstractNumId w:val="15534564"/>
  </w:num>
  <w:num w:numId="91">
    <w:abstractNumId w:val="15534565"/>
  </w:num>
  <w:num w:numId="92">
    <w:abstractNumId w:val="15534566"/>
  </w:num>
  <w:num w:numId="93">
    <w:abstractNumId w:val="15534567"/>
  </w:num>
  <w:num w:numId="94">
    <w:abstractNumId w:val="15534568"/>
  </w:num>
  <w:num w:numId="95">
    <w:abstractNumId w:val="15534569"/>
  </w:num>
  <w:num w:numId="96">
    <w:abstractNumId w:val="15534570"/>
  </w:num>
  <w:num w:numId="97">
    <w:abstractNumId w:val="15534571"/>
  </w:num>
  <w:num w:numId="98">
    <w:abstractNumId w:val="15534572"/>
  </w:num>
  <w:num w:numId="99">
    <w:abstractNumId w:val="15534573"/>
  </w:num>
  <w:num w:numId="100">
    <w:abstractNumId w:val="15534574"/>
  </w:num>
  <w:num w:numId="101">
    <w:abstractNumId w:val="15534575"/>
  </w:num>
  <w:num w:numId="102">
    <w:abstractNumId w:val="15534576"/>
  </w:num>
  <w:num w:numId="103">
    <w:abstractNumId w:val="15534577"/>
  </w:num>
  <w:num w:numId="104">
    <w:abstractNumId w:val="15534578"/>
  </w:num>
  <w:num w:numId="105">
    <w:abstractNumId w:val="15534579"/>
  </w:num>
  <w:num w:numId="106">
    <w:abstractNumId w:val="15534580"/>
  </w:num>
  <w:num w:numId="107">
    <w:abstractNumId w:val="15534581"/>
  </w:num>
  <w:num w:numId="108">
    <w:abstractNumId w:val="15534582"/>
  </w:num>
  <w:num w:numId="109">
    <w:abstractNumId w:val="15534583"/>
  </w:num>
  <w:num w:numId="110">
    <w:abstractNumId w:val="15534584"/>
  </w:num>
  <w:num w:numId="111">
    <w:abstractNumId w:val="15534585"/>
  </w:num>
  <w:num w:numId="112">
    <w:abstractNumId w:val="15534586"/>
  </w:num>
  <w:num w:numId="113">
    <w:abstractNumId w:val="15534587"/>
  </w:num>
  <w:num w:numId="114">
    <w:abstractNumId w:val="15534588"/>
  </w:num>
  <w:num w:numId="115">
    <w:abstractNumId w:val="15534589"/>
  </w:num>
  <w:num w:numId="116">
    <w:abstractNumId w:val="15534590"/>
  </w:num>
  <w:num w:numId="117">
    <w:abstractNumId w:val="15534591"/>
  </w:num>
  <w:num w:numId="118">
    <w:abstractNumId w:val="15534592"/>
  </w:num>
  <w:num w:numId="119">
    <w:abstractNumId w:val="15534593"/>
  </w:num>
  <w:num w:numId="120">
    <w:abstractNumId w:val="15534594"/>
  </w:num>
  <w:num w:numId="121">
    <w:abstractNumId w:val="15534595"/>
  </w:num>
  <w:num w:numId="122">
    <w:abstractNumId w:val="15534596"/>
  </w:num>
  <w:num w:numId="123">
    <w:abstractNumId w:val="15534597"/>
  </w:num>
  <w:num w:numId="124">
    <w:abstractNumId w:val="15534598"/>
  </w:num>
  <w:num w:numId="125">
    <w:abstractNumId w:val="15534599"/>
  </w:num>
  <w:num w:numId="126">
    <w:abstractNumId w:val="15534600"/>
  </w:num>
  <w:num w:numId="127">
    <w:abstractNumId w:val="15534601"/>
  </w:num>
  <w:num w:numId="128">
    <w:abstractNumId w:val="15534602"/>
  </w:num>
  <w:num w:numId="129">
    <w:abstractNumId w:val="15534603"/>
  </w:num>
  <w:num w:numId="130">
    <w:abstractNumId w:val="15534604"/>
  </w:num>
  <w:num w:numId="131">
    <w:abstractNumId w:val="15534605"/>
  </w:num>
  <w:num w:numId="132">
    <w:abstractNumId w:val="15534606"/>
  </w:num>
  <w:num w:numId="133">
    <w:abstractNumId w:val="15534607"/>
  </w:num>
  <w:num w:numId="134">
    <w:abstractNumId w:val="15534608"/>
  </w:num>
  <w:num w:numId="135">
    <w:abstractNumId w:val="15534609"/>
  </w:num>
  <w:num w:numId="136">
    <w:abstractNumId w:val="15534610"/>
  </w:num>
  <w:num w:numId="137">
    <w:abstractNumId w:val="15534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2026-03-24T06:45:05Z</dcterms:created>
  <dc:creator>Apache POI</dc:creator>
</cp:coreProperties>
</file>