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49b3fmds7lrt" w:id="0"/>
      <w:bookmarkEnd w:id="0"/>
      <w:r w:rsidDel="00000000" w:rsidR="00000000" w:rsidRPr="00000000">
        <w:rPr>
          <w:b w:val="1"/>
          <w:color w:val="000000"/>
          <w:sz w:val="26"/>
          <w:szCs w:val="26"/>
          <w:rtl w:val="0"/>
        </w:rPr>
        <w:t xml:space="preserve">Análisis Integrado: Tendencias, Correlaciones y Factores Contextuales</w:t>
      </w:r>
    </w:p>
    <w:p w:rsidR="00000000" w:rsidDel="00000000" w:rsidP="00000000" w:rsidRDefault="00000000" w:rsidRPr="00000000" w14:paraId="00000002">
      <w:pPr>
        <w:spacing w:after="240" w:before="240" w:lineRule="auto"/>
        <w:rPr/>
      </w:pPr>
      <w:r w:rsidDel="00000000" w:rsidR="00000000" w:rsidRPr="00000000">
        <w:rPr>
          <w:rtl w:val="0"/>
        </w:rPr>
        <w:t xml:space="preserve">El análisis conjunto de los datos de los países latinoamericanos permite observar comportamientos diferenciados en la evolución de la pandemia, así como la influencia relativa de las campañas de vacunación, la estructura poblacional y las condiciones ambientales.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8pcy8teqa8fu" w:id="1"/>
      <w:bookmarkEnd w:id="1"/>
      <w:r w:rsidDel="00000000" w:rsidR="00000000" w:rsidRPr="00000000">
        <w:rPr>
          <w:b w:val="1"/>
          <w:color w:val="000000"/>
          <w:sz w:val="22"/>
          <w:szCs w:val="22"/>
          <w:rtl w:val="0"/>
        </w:rPr>
        <w:t xml:space="preserve">Evolución temporal y dinámica de contagios</w:t>
      </w:r>
    </w:p>
    <w:p w:rsidR="00000000" w:rsidDel="00000000" w:rsidP="00000000" w:rsidRDefault="00000000" w:rsidRPr="00000000" w14:paraId="00000004">
      <w:pPr>
        <w:spacing w:after="240" w:before="240" w:lineRule="auto"/>
        <w:rPr/>
      </w:pPr>
      <w:r w:rsidDel="00000000" w:rsidR="00000000" w:rsidRPr="00000000">
        <w:rPr>
          <w:rtl w:val="0"/>
        </w:rPr>
        <w:t xml:space="preserve">Durante el período analizado (2021–2022), Brasil se mantuvo como el país con mayor cantidad de casos confirmados y muertes acumuladas, marcando una diferencia significativa con el resto de la región.</w:t>
        <w:br w:type="textWrapping"/>
        <w:t xml:space="preserve"> Argentina experimentó su principal incremento de contagios a comienzos de 2022, con una tendencia sostenida de casos altos a lo largo del año.</w:t>
        <w:br w:type="textWrapping"/>
        <w:t xml:space="preserve"> Colombia, por su parte, alcanzó su pico de casos en la primera mitad de </w:t>
      </w:r>
      <w:r w:rsidDel="00000000" w:rsidR="00000000" w:rsidRPr="00000000">
        <w:rPr>
          <w:rtl w:val="0"/>
        </w:rPr>
        <w:t xml:space="preserve">2021</w:t>
      </w:r>
      <w:r w:rsidDel="00000000" w:rsidR="00000000" w:rsidRPr="00000000">
        <w:rPr>
          <w:rtl w:val="0"/>
        </w:rPr>
        <w:t xml:space="preserve">, estabilizándose después, aunque manteniendo un nivel alto de mortalidad durante todo el periodo.</w:t>
        <w:br w:type="textWrapping"/>
        <w:t xml:space="preserve"> Chile y México mostraron un mejor control epidemiológico: ambos presentaron picos más acotados, y en el caso de México incluso se registró una fuerte reducción de casos y muertes a comienzos de 2022.</w:t>
        <w:br w:type="textWrapping"/>
        <w:t xml:space="preserve"> Finalmente, Perú evidenció un crecimiento sostenido de casos que alcanzó su punto máximo hacia finales de 2022, acompañándose de un aumento paralelo en la mortalidad.</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xyofjyvmk6er" w:id="2"/>
      <w:bookmarkEnd w:id="2"/>
      <w:r w:rsidDel="00000000" w:rsidR="00000000" w:rsidRPr="00000000">
        <w:rPr>
          <w:b w:val="1"/>
          <w:color w:val="000000"/>
          <w:sz w:val="22"/>
          <w:szCs w:val="22"/>
          <w:rtl w:val="0"/>
        </w:rPr>
        <w:t xml:space="preserve">Vacunación y su relación con los indicadores sanitarios</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El análisis de correlaciones sugiere que la vacunación tuvo un efecto mitigador sobre la mortalidad y los nuevos contagios, aunque con distinta intensidad según el país.</w:t>
        <w:br w:type="textWrapping"/>
        <w:t xml:space="preserve"> En Colombia y México, las correlaciones negativas entre dosis acumuladas y muertes (-0.74 y -0.7 respectivamente) reflejan una posible reducción del impacto letal del virus a medida que avanzó la inmunización.</w:t>
        <w:br w:type="textWrapping"/>
        <w:t xml:space="preserve"> En contraste, países como Argentina, Chile y Brasil muestran altas correlaciones positivas (≈0.9) entre casos acumulados, muertes y dosis administradas, lo que probablemente se deba a que los aumentos de vacunación ocurrieron en paralelo al avance de los contagios, no necesariamente antes.</w:t>
      </w:r>
    </w:p>
    <w:p w:rsidR="00000000" w:rsidDel="00000000" w:rsidP="00000000" w:rsidRDefault="00000000" w:rsidRPr="00000000" w14:paraId="00000007">
      <w:pPr>
        <w:spacing w:after="240" w:before="240" w:lineRule="auto"/>
        <w:rPr/>
      </w:pPr>
      <w:r w:rsidDel="00000000" w:rsidR="00000000" w:rsidRPr="00000000">
        <w:rPr>
          <w:rtl w:val="0"/>
        </w:rPr>
        <w:t xml:space="preserve">A nivel total, Brasil fue el país con la mayor cantidad de dosis administradas, mientras que Chile tuvo la menor, con una diferencia aproximada de 285 millones de dosis. Esta brecha refleja tanto la magnitud poblacional como la capacidad logística de cada país.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nmft7nqe2e48" w:id="3"/>
      <w:bookmarkEnd w:id="3"/>
      <w:r w:rsidDel="00000000" w:rsidR="00000000" w:rsidRPr="00000000">
        <w:rPr>
          <w:b w:val="1"/>
          <w:color w:val="000000"/>
          <w:sz w:val="22"/>
          <w:szCs w:val="22"/>
          <w:rtl w:val="0"/>
        </w:rPr>
        <w:t xml:space="preserve">Factores ambientales</w:t>
      </w:r>
    </w:p>
    <w:p w:rsidR="00000000" w:rsidDel="00000000" w:rsidP="00000000" w:rsidRDefault="00000000" w:rsidRPr="00000000" w14:paraId="00000009">
      <w:pPr>
        <w:spacing w:after="240" w:before="240" w:lineRule="auto"/>
        <w:rPr/>
      </w:pPr>
      <w:r w:rsidDel="00000000" w:rsidR="00000000" w:rsidRPr="00000000">
        <w:rPr>
          <w:rtl w:val="0"/>
        </w:rPr>
        <w:t xml:space="preserve">El estudio de las variables climáticas no mostró correlaciones significativas entre la temperatura media y las cifras de casos o muertes. Esto sugiere que, en el contexto latinoamericano, la temperatura no fue un factor determinante en la propagación o gravedad de la pandemia. Sin embargo, no puede descartarse su influencia indirecta, asociada a comportamientos estacionales o patrones de movilidad.</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ucu768hs4qnf" w:id="4"/>
      <w:bookmarkEnd w:id="4"/>
      <w:r w:rsidDel="00000000" w:rsidR="00000000" w:rsidRPr="00000000">
        <w:rPr>
          <w:b w:val="1"/>
          <w:color w:val="000000"/>
          <w:sz w:val="22"/>
          <w:szCs w:val="22"/>
          <w:rtl w:val="0"/>
        </w:rPr>
        <w:t xml:space="preserve">Estructura poblacional y vulnerabilidad</w:t>
      </w:r>
    </w:p>
    <w:p w:rsidR="00000000" w:rsidDel="00000000" w:rsidP="00000000" w:rsidRDefault="00000000" w:rsidRPr="00000000" w14:paraId="0000000B">
      <w:pPr>
        <w:spacing w:after="240" w:before="240" w:lineRule="auto"/>
        <w:rPr/>
      </w:pPr>
      <w:r w:rsidDel="00000000" w:rsidR="00000000" w:rsidRPr="00000000">
        <w:rPr>
          <w:rtl w:val="0"/>
        </w:rPr>
        <w:t xml:space="preserve">El análisis demográfico revela diferencias estructurales que pueden influir en la vulnerabilidad sanitaria.</w:t>
        <w:br w:type="textWrapping"/>
        <w:t xml:space="preserve"> Argentina y Perú poseen una población predominantemente joven, con más del 50 % menor de 30 años y menos del 15 % mayor de 60, lo cual puede haber contribuido a tasas de mortalidad moderadas.</w:t>
        <w:br w:type="textWrapping"/>
        <w:t xml:space="preserve"> México también presenta una pirámide poblacional joven, con un 40 % de personas menores de 20 años.</w:t>
        <w:br w:type="textWrapping"/>
        <w:t xml:space="preserve"> En cambio, Chile muestra una distribución más equilibrada entre los distintos grupos etarios, mientras que Brasil y Colombia concentran la mayoría de su población en edades productivas (20–50 años).</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mu2odcnms0u7" w:id="5"/>
      <w:bookmarkEnd w:id="5"/>
      <w:r w:rsidDel="00000000" w:rsidR="00000000" w:rsidRPr="00000000">
        <w:rPr>
          <w:b w:val="1"/>
          <w:color w:val="000000"/>
          <w:sz w:val="22"/>
          <w:szCs w:val="22"/>
          <w:rtl w:val="0"/>
        </w:rPr>
        <w:t xml:space="preserve">Tasa de mortalidad y diferencias por género</w:t>
      </w:r>
    </w:p>
    <w:p w:rsidR="00000000" w:rsidDel="00000000" w:rsidP="00000000" w:rsidRDefault="00000000" w:rsidRPr="00000000" w14:paraId="0000000D">
      <w:pPr>
        <w:spacing w:after="240" w:before="240" w:lineRule="auto"/>
        <w:rPr/>
      </w:pPr>
      <w:r w:rsidDel="00000000" w:rsidR="00000000" w:rsidRPr="00000000">
        <w:rPr>
          <w:rtl w:val="0"/>
        </w:rPr>
        <w:t xml:space="preserve">La tasa de mortalidad masculina resulta un 85 % más alta que la femenina, lo que confirma una tendencia observada también a nivel global. Esto podría estar relacionado con factores biológicos (como respuesta inmune) y socioculturales (mayor exposición laboral o comorbilidades).</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