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tpwg6iyegx2k" w:id="0"/>
      <w:bookmarkEnd w:id="0"/>
      <w:r w:rsidDel="00000000" w:rsidR="00000000" w:rsidRPr="00000000">
        <w:rPr>
          <w:color w:val="000000"/>
          <w:sz w:val="26"/>
          <w:szCs w:val="26"/>
          <w:rtl w:val="0"/>
        </w:rPr>
        <w:t xml:space="preserve">Evolución temporal de los casos confirmados</w:t>
      </w:r>
    </w:p>
    <w:p w:rsidR="00000000" w:rsidDel="00000000" w:rsidP="00000000" w:rsidRDefault="00000000" w:rsidRPr="00000000" w14:paraId="00000002">
      <w:pPr>
        <w:spacing w:after="240" w:before="240" w:lineRule="auto"/>
        <w:rPr/>
      </w:pPr>
      <w:r w:rsidDel="00000000" w:rsidR="00000000" w:rsidRPr="00000000">
        <w:rPr>
          <w:rtl w:val="0"/>
        </w:rPr>
        <w:t xml:space="preserve">Durante el período analizado, todos los países latinoamericanos presentaron picos bien marcados, aunque en distintos momentos y con distinta intensidad.</w:t>
        <w:br w:type="textWrapping"/>
        <w:t xml:space="preserve"> Argentina registró su punto máximo de contagios a comienzos de 2022, marcando uno de los incrementos más pronunciados entre los países estudiados.</w:t>
        <w:br w:type="textWrapping"/>
        <w:t xml:space="preserve"> De manera similar, Chile y Colombia experimentaron picos en esa misma etapa, aunque con valores aproximadamente un cuarto menores a los de Argentina.</w:t>
      </w:r>
    </w:p>
    <w:p w:rsidR="00000000" w:rsidDel="00000000" w:rsidP="00000000" w:rsidRDefault="00000000" w:rsidRPr="00000000" w14:paraId="00000003">
      <w:pPr>
        <w:spacing w:after="240" w:before="240" w:lineRule="auto"/>
        <w:rPr/>
      </w:pPr>
      <w:r w:rsidDel="00000000" w:rsidR="00000000" w:rsidRPr="00000000">
        <w:rPr>
          <w:rtl w:val="0"/>
        </w:rPr>
        <w:t xml:space="preserve">En México, el mayor brote se dio a fines de 2021, con una fuerte subida de casos seguida de un descenso rápido, mientras que Perú mostró un comportamiento paralelo —con su pico también a fines de 2021 o inicios de 2022—, aunque con cifras algo más bajas que las de Chile y Colombia.</w:t>
      </w:r>
    </w:p>
    <w:p w:rsidR="00000000" w:rsidDel="00000000" w:rsidP="00000000" w:rsidRDefault="00000000" w:rsidRPr="00000000" w14:paraId="00000004">
      <w:pPr>
        <w:spacing w:after="240" w:before="240" w:lineRule="auto"/>
        <w:rPr/>
      </w:pPr>
      <w:r w:rsidDel="00000000" w:rsidR="00000000" w:rsidRPr="00000000">
        <w:rPr>
          <w:rtl w:val="0"/>
        </w:rPr>
        <w:t xml:space="preserve">Por su parte, Brasil se destacó como el país con el mayor número absoluto de casos, alcanzando su máximo a comienzos de 2022. Esto sugiere que el impacto de la pandemia fue particularmente intenso en ese país, tanto por la magnitud de la población como por la velocidad de transmisión durante esa ola.</w:t>
      </w:r>
    </w:p>
    <w:p w:rsidR="00000000" w:rsidDel="00000000" w:rsidP="00000000" w:rsidRDefault="00000000" w:rsidRPr="00000000" w14:paraId="00000005">
      <w:pPr>
        <w:rPr>
          <w:color w:val="000000"/>
          <w:sz w:val="26"/>
          <w:szCs w:val="26"/>
        </w:rPr>
      </w:pPr>
      <w:r w:rsidDel="00000000" w:rsidR="00000000" w:rsidRPr="00000000">
        <w:rPr>
          <w:color w:val="000000"/>
          <w:sz w:val="26"/>
          <w:szCs w:val="26"/>
          <w:rtl w:val="0"/>
        </w:rPr>
        <w:t xml:space="preserve">Mortalidad a lo largo del tiempo</w:t>
      </w:r>
    </w:p>
    <w:p w:rsidR="00000000" w:rsidDel="00000000" w:rsidP="00000000" w:rsidRDefault="00000000" w:rsidRPr="00000000" w14:paraId="00000006">
      <w:pPr>
        <w:spacing w:after="240" w:before="240" w:lineRule="auto"/>
        <w:rPr/>
      </w:pPr>
      <w:r w:rsidDel="00000000" w:rsidR="00000000" w:rsidRPr="00000000">
        <w:rPr>
          <w:rtl w:val="0"/>
        </w:rPr>
        <w:t xml:space="preserve">El análisis de la evolución de las muertes muestra un patrón temporal levemente distinto al de los contagios, reflejando cómo las olas de mortalidad siguieron a los picos de casos con cierto desfase.</w:t>
      </w:r>
    </w:p>
    <w:p w:rsidR="00000000" w:rsidDel="00000000" w:rsidP="00000000" w:rsidRDefault="00000000" w:rsidRPr="00000000" w14:paraId="00000007">
      <w:pPr>
        <w:spacing w:after="240" w:before="240" w:lineRule="auto"/>
        <w:rPr/>
      </w:pPr>
      <w:r w:rsidDel="00000000" w:rsidR="00000000" w:rsidRPr="00000000">
        <w:rPr>
          <w:rtl w:val="0"/>
        </w:rPr>
        <w:t xml:space="preserve">En Argentina y Colombia, el momento más crítico se dio hacia el final del primer trimestre de 2021, con un rebrote menor a comienzos de 2022. Ambos países compartieron no solo la cronología de los picos, sino también su magnitud relativa, alcanzando aproximadamente 4.000 muertes semanales.</w:t>
      </w:r>
    </w:p>
    <w:p w:rsidR="00000000" w:rsidDel="00000000" w:rsidP="00000000" w:rsidRDefault="00000000" w:rsidRPr="00000000" w14:paraId="00000008">
      <w:pPr>
        <w:spacing w:after="240" w:before="240" w:lineRule="auto"/>
        <w:rPr/>
      </w:pPr>
      <w:r w:rsidDel="00000000" w:rsidR="00000000" w:rsidRPr="00000000">
        <w:rPr>
          <w:rtl w:val="0"/>
        </w:rPr>
        <w:t xml:space="preserve">Chile, en cambio, tuvo su mayor impacto mortal un poco más tarde, alrededor de marzo de 2022, cuando alcanzó un pico cercano a las 12.000 muertes, para luego sostener cifras considerablemente más bajas.</w:t>
      </w:r>
    </w:p>
    <w:p w:rsidR="00000000" w:rsidDel="00000000" w:rsidP="00000000" w:rsidRDefault="00000000" w:rsidRPr="00000000" w14:paraId="00000009">
      <w:pPr>
        <w:spacing w:after="240" w:before="240" w:lineRule="auto"/>
        <w:rPr/>
      </w:pPr>
      <w:r w:rsidDel="00000000" w:rsidR="00000000" w:rsidRPr="00000000">
        <w:rPr>
          <w:rtl w:val="0"/>
        </w:rPr>
        <w:t xml:space="preserve">En México, el patrón fue diferente: comenzó 2021 con un número muy elevado de muertes, que logró reducir con rapidez, aunque con rebrotes hacia mediados de ese año y nuevamente al inicio de 2022.</w:t>
        <w:br w:type="textWrapping"/>
        <w:t xml:space="preserve"> Perú también concentró su mayor carga de mortalidad durante el primer semestre de 2021, estabilizándose luego en niveles bajos con un pequeño repunte en 2022.</w:t>
      </w:r>
    </w:p>
    <w:p w:rsidR="00000000" w:rsidDel="00000000" w:rsidP="00000000" w:rsidRDefault="00000000" w:rsidRPr="00000000" w14:paraId="0000000A">
      <w:pPr>
        <w:spacing w:after="240" w:before="240" w:lineRule="auto"/>
        <w:rPr/>
      </w:pPr>
      <w:r w:rsidDel="00000000" w:rsidR="00000000" w:rsidRPr="00000000">
        <w:rPr>
          <w:rtl w:val="0"/>
        </w:rPr>
        <w:t xml:space="preserve">Finalmente, Brasil volvió a destacarse por su magnitud: alcanzó el pico más alto de muertes entre todos los países analizados, con alrededor de 21.000 fallecimientos en su punto máximo a mediados de 2021, seguido de una tendencia descendente y un rebrote moderado al comenzar 2022.</w:t>
      </w:r>
    </w:p>
    <w:p w:rsidR="00000000" w:rsidDel="00000000" w:rsidP="00000000" w:rsidRDefault="00000000" w:rsidRPr="00000000" w14:paraId="0000000B">
      <w:pPr>
        <w:spacing w:after="240" w:before="240" w:lineRule="auto"/>
        <w:rPr/>
      </w:pPr>
      <w:r w:rsidDel="00000000" w:rsidR="00000000" w:rsidRPr="00000000">
        <w:rPr>
          <w:rtl w:val="0"/>
        </w:rPr>
        <w:t xml:space="preserve">Estos patrones reflejan la dinámica regional del virus, con una primera ola severa en 2021 y un segundo brote más atenuado en los primeros meses de 2022.</w:t>
      </w:r>
    </w:p>
    <w:p w:rsidR="00000000" w:rsidDel="00000000" w:rsidP="00000000" w:rsidRDefault="00000000" w:rsidRPr="00000000" w14:paraId="0000000C">
      <w:pPr>
        <w:spacing w:after="240" w:before="240" w:lineRule="auto"/>
        <w:rPr>
          <w:color w:val="000000"/>
          <w:sz w:val="26"/>
          <w:szCs w:val="26"/>
        </w:rPr>
      </w:pPr>
      <w:r w:rsidDel="00000000" w:rsidR="00000000" w:rsidRPr="00000000">
        <w:rPr>
          <w:color w:val="000000"/>
          <w:sz w:val="26"/>
          <w:szCs w:val="26"/>
          <w:rtl w:val="0"/>
        </w:rPr>
        <w:t xml:space="preserve">Proceso de vacunación</w:t>
      </w:r>
    </w:p>
    <w:p w:rsidR="00000000" w:rsidDel="00000000" w:rsidP="00000000" w:rsidRDefault="00000000" w:rsidRPr="00000000" w14:paraId="0000000D">
      <w:pPr>
        <w:spacing w:after="240" w:before="240" w:lineRule="auto"/>
        <w:rPr/>
      </w:pPr>
      <w:r w:rsidDel="00000000" w:rsidR="00000000" w:rsidRPr="00000000">
        <w:rPr>
          <w:rtl w:val="0"/>
        </w:rPr>
        <w:t xml:space="preserve">El ritmo y la intensidad de la vacunación variaron significativamente entre países.</w:t>
      </w:r>
    </w:p>
    <w:p w:rsidR="00000000" w:rsidDel="00000000" w:rsidP="00000000" w:rsidRDefault="00000000" w:rsidRPr="00000000" w14:paraId="0000000E">
      <w:pPr>
        <w:spacing w:after="240" w:before="240" w:lineRule="auto"/>
        <w:rPr/>
      </w:pPr>
      <w:r w:rsidDel="00000000" w:rsidR="00000000" w:rsidRPr="00000000">
        <w:rPr>
          <w:rtl w:val="0"/>
        </w:rPr>
        <w:t xml:space="preserve">Brasil se posicionó como el país con el despliegue más rápido y sostenido de vacunas, iniciando una fuerte campaña a mediados de 2021 y manteniendo un crecimiento constante en la administración de dosis.</w:t>
      </w:r>
    </w:p>
    <w:p w:rsidR="00000000" w:rsidDel="00000000" w:rsidP="00000000" w:rsidRDefault="00000000" w:rsidRPr="00000000" w14:paraId="0000000F">
      <w:pPr>
        <w:spacing w:after="240" w:before="240" w:lineRule="auto"/>
        <w:rPr/>
      </w:pPr>
      <w:r w:rsidDel="00000000" w:rsidR="00000000" w:rsidRPr="00000000">
        <w:rPr>
          <w:rtl w:val="0"/>
        </w:rPr>
        <w:t xml:space="preserve">Argentina también logró un avance notable, especialmente hacia mediados de 2022, cuando aceleró considerablemente su ritmo de vacunación.</w:t>
      </w:r>
    </w:p>
    <w:p w:rsidR="00000000" w:rsidDel="00000000" w:rsidP="00000000" w:rsidRDefault="00000000" w:rsidRPr="00000000" w14:paraId="00000010">
      <w:pPr>
        <w:spacing w:after="240" w:before="240" w:lineRule="auto"/>
        <w:rPr/>
      </w:pPr>
      <w:r w:rsidDel="00000000" w:rsidR="00000000" w:rsidRPr="00000000">
        <w:rPr>
          <w:rtl w:val="0"/>
        </w:rPr>
        <w:t xml:space="preserve">Por su parte, Chile, Colombia y Perú mostraron un progreso similar entre sí, con incrementos graduales y sostenidos, aunque sin grandes saltos.</w:t>
        <w:br w:type="textWrapping"/>
        <w:t xml:space="preserve"> México, en cambio, evidenció una predisposición más temprana, alcanzando niveles de vacunación más altos en relación con los otros países en etapas iniciales del proceso.</w:t>
      </w:r>
    </w:p>
    <w:p w:rsidR="00000000" w:rsidDel="00000000" w:rsidP="00000000" w:rsidRDefault="00000000" w:rsidRPr="00000000" w14:paraId="00000011">
      <w:pPr>
        <w:spacing w:after="240" w:before="240" w:lineRule="auto"/>
        <w:rPr/>
      </w:pPr>
      <w:r w:rsidDel="00000000" w:rsidR="00000000" w:rsidRPr="00000000">
        <w:rPr>
          <w:rtl w:val="0"/>
        </w:rPr>
        <w:t xml:space="preserve">En conjunto, estos datos muestran cómo la respuesta sanitaria fue más ágil en algunos países (como Brasil y México), mientras que otros tuvieron una escalada más progresiva, lo que probablemente impactó en la dinámica posterior de contagios y mortalidad.</w:t>
      </w:r>
    </w:p>
    <w:p w:rsidR="00000000" w:rsidDel="00000000" w:rsidP="00000000" w:rsidRDefault="00000000" w:rsidRPr="00000000" w14:paraId="00000012">
      <w:pPr>
        <w:rPr>
          <w:color w:val="000000"/>
          <w:sz w:val="26"/>
          <w:szCs w:val="26"/>
        </w:rPr>
      </w:pPr>
      <w:r w:rsidDel="00000000" w:rsidR="00000000" w:rsidRPr="00000000">
        <w:rPr>
          <w:color w:val="000000"/>
          <w:sz w:val="26"/>
          <w:szCs w:val="26"/>
          <w:rtl w:val="0"/>
        </w:rPr>
        <w:t xml:space="preserve">Tasa de mortalidad por país</w:t>
      </w:r>
    </w:p>
    <w:p w:rsidR="00000000" w:rsidDel="00000000" w:rsidP="00000000" w:rsidRDefault="00000000" w:rsidRPr="00000000" w14:paraId="00000013">
      <w:pPr>
        <w:spacing w:after="240" w:before="240" w:lineRule="auto"/>
        <w:rPr/>
      </w:pPr>
      <w:r w:rsidDel="00000000" w:rsidR="00000000" w:rsidRPr="00000000">
        <w:rPr>
          <w:rtl w:val="0"/>
        </w:rPr>
        <w:t xml:space="preserve">Al analizar la mortalidad acumulada en proporción a la población, se observan diferencias relevantes:</w:t>
      </w:r>
    </w:p>
    <w:p w:rsidR="00000000" w:rsidDel="00000000" w:rsidP="00000000" w:rsidRDefault="00000000" w:rsidRPr="00000000" w14:paraId="00000014">
      <w:pPr>
        <w:spacing w:after="240" w:before="240" w:lineRule="auto"/>
        <w:rPr/>
      </w:pPr>
      <w:r w:rsidDel="00000000" w:rsidR="00000000" w:rsidRPr="00000000">
        <w:rPr>
          <w:rtl w:val="0"/>
        </w:rPr>
        <w:t xml:space="preserve">Perú presenta la tasa más alta, con aproximadamente 0,40%, lo que lo posiciona como el país con mayor mortalidad relativa de la muestra.</w:t>
        <w:br w:type="textWrapping"/>
        <w:t xml:space="preserve"> Chile, Argentina y Brasil se encuentran en un rango medio, con valores entre 0,23% y 0,28%.</w:t>
        <w:br w:type="textWrapping"/>
        <w:t xml:space="preserve"> Colombia muestra una tasa algo menor (0,22%), mientras que México tiene la más baja del grupo (0,15%).</w:t>
        <w:br w:type="textWrapping"/>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A pesar de lo esperable, no se observa una correlación clara entre el porcentaje de población mayor de 60 años y la tasa de mortalidad total. Esto sugiere que otros factores —como la capacidad del sistema de salud, la rapidez de vacunación o la efectividad de las medidas sanitarias— pudieron tener un rol más determinante que la estructura etaria por sí sola.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