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6irjh8alfe1l" w:id="0"/>
      <w:bookmarkEnd w:id="0"/>
      <w:r w:rsidDel="00000000" w:rsidR="00000000" w:rsidRPr="00000000">
        <w:rPr>
          <w:b w:val="1"/>
          <w:sz w:val="34"/>
          <w:szCs w:val="34"/>
          <w:rtl w:val="0"/>
        </w:rPr>
        <w:t xml:space="preserve">Informe del Proyecto de Análisis de Datos</w:t>
      </w:r>
    </w:p>
    <w:p w:rsidR="00000000" w:rsidDel="00000000" w:rsidP="00000000" w:rsidRDefault="00000000" w:rsidRPr="00000000" w14:paraId="00000002">
      <w:pPr>
        <w:spacing w:after="240" w:before="240" w:lineRule="auto"/>
        <w:rPr/>
      </w:pPr>
      <w:r w:rsidDel="00000000" w:rsidR="00000000" w:rsidRPr="00000000">
        <w:rPr>
          <w:rtl w:val="0"/>
        </w:rPr>
        <w:t xml:space="preserve">Una empresa nos contrató con el objetivo de realizar un estudio orientado a mejorar la eficiencia de sus operaciones. Para ello, nos suministró información detallada de pedidos realizados de forma online por clientes de todo el mundo, en el período comprendido entre el 1 de enero de 2013 y el 31 de diciembre de 2014.</w:t>
      </w:r>
    </w:p>
    <w:p w:rsidR="00000000" w:rsidDel="00000000" w:rsidP="00000000" w:rsidRDefault="00000000" w:rsidRPr="00000000" w14:paraId="00000003">
      <w:pPr>
        <w:spacing w:after="240" w:before="240" w:lineRule="auto"/>
        <w:rPr/>
      </w:pPr>
      <w:r w:rsidDel="00000000" w:rsidR="00000000" w:rsidRPr="00000000">
        <w:rPr>
          <w:rtl w:val="0"/>
        </w:rPr>
        <w:t xml:space="preserve">El desafío consistió en desarrollar todas las etapas de un proyecto de análisis de datos, desde los procesos de </w:t>
      </w:r>
      <w:r w:rsidDel="00000000" w:rsidR="00000000" w:rsidRPr="00000000">
        <w:rPr>
          <w:rtl w:val="0"/>
        </w:rPr>
        <w:t xml:space="preserve">ETL</w:t>
      </w:r>
      <w:r w:rsidDel="00000000" w:rsidR="00000000" w:rsidRPr="00000000">
        <w:rPr>
          <w:rtl w:val="0"/>
        </w:rPr>
        <w:t xml:space="preserve"> necesarios para la exploración inicial, hasta la presentación de resultados mediante informes y un </w:t>
      </w:r>
      <w:r w:rsidDel="00000000" w:rsidR="00000000" w:rsidRPr="00000000">
        <w:rPr>
          <w:rtl w:val="0"/>
        </w:rPr>
        <w:t xml:space="preserve">dashboard</w:t>
      </w:r>
      <w:r w:rsidDel="00000000" w:rsidR="00000000" w:rsidRPr="00000000">
        <w:rPr>
          <w:rtl w:val="0"/>
        </w:rPr>
        <w:t xml:space="preserve"> interactivo en Google Spreadsheets.</w:t>
      </w:r>
    </w:p>
    <w:p w:rsidR="00000000" w:rsidDel="00000000" w:rsidP="00000000" w:rsidRDefault="00000000" w:rsidRPr="00000000" w14:paraId="00000004">
      <w:pPr>
        <w:spacing w:after="240" w:before="240" w:lineRule="auto"/>
        <w:rPr/>
      </w:pPr>
      <w:r w:rsidDel="00000000" w:rsidR="00000000" w:rsidRPr="00000000">
        <w:rPr>
          <w:rtl w:val="0"/>
        </w:rPr>
        <w:t xml:space="preserve">El trabajo comenzó con la importación de las bases de datos a una nueva hoja de cálculo. Se eliminaron filas y columnas vacías, así como las columnas “Columna1”, “Records” y “Columna2”, ya que contenían datos repetitivos o irrelevantes (en el caso de “Columna1”, todos los valores eran 0). Posteriormente, se ajustaron los formatos de las columnas en función de su contenido y se ordenó la información por fecha de venta (</w:t>
      </w:r>
      <w:r w:rsidDel="00000000" w:rsidR="00000000" w:rsidRPr="00000000">
        <w:rPr>
          <w:i w:val="1"/>
          <w:rtl w:val="0"/>
        </w:rPr>
        <w:t xml:space="preserve">SalesDate</w:t>
      </w:r>
      <w:r w:rsidDel="00000000" w:rsidR="00000000" w:rsidRPr="00000000">
        <w:rPr>
          <w:rtl w:val="0"/>
        </w:rPr>
        <w:t xml:space="preserve">), en orden ascendente.</w:t>
      </w:r>
    </w:p>
    <w:p w:rsidR="00000000" w:rsidDel="00000000" w:rsidP="00000000" w:rsidRDefault="00000000" w:rsidRPr="00000000" w14:paraId="00000005">
      <w:pPr>
        <w:spacing w:after="240" w:before="240" w:lineRule="auto"/>
        <w:rPr/>
      </w:pPr>
      <w:r w:rsidDel="00000000" w:rsidR="00000000" w:rsidRPr="00000000">
        <w:rPr>
          <w:rtl w:val="0"/>
        </w:rPr>
        <w:t xml:space="preserve">Durante la revisión, se detectó que las columnas </w:t>
      </w:r>
      <w:r w:rsidDel="00000000" w:rsidR="00000000" w:rsidRPr="00000000">
        <w:rPr>
          <w:i w:val="1"/>
          <w:rtl w:val="0"/>
        </w:rPr>
        <w:t xml:space="preserve">SalesDate</w:t>
      </w:r>
      <w:r w:rsidDel="00000000" w:rsidR="00000000" w:rsidRPr="00000000">
        <w:rPr>
          <w:rtl w:val="0"/>
        </w:rPr>
        <w:t xml:space="preserve"> y </w:t>
      </w:r>
      <w:r w:rsidDel="00000000" w:rsidR="00000000" w:rsidRPr="00000000">
        <w:rPr>
          <w:i w:val="1"/>
          <w:rtl w:val="0"/>
        </w:rPr>
        <w:t xml:space="preserve">OrderDate</w:t>
      </w:r>
      <w:r w:rsidDel="00000000" w:rsidR="00000000" w:rsidRPr="00000000">
        <w:rPr>
          <w:rtl w:val="0"/>
        </w:rPr>
        <w:t xml:space="preserve"> eran idénticas, lo que se comprobó utilizando una columna temporal con la función </w:t>
      </w:r>
      <w:r w:rsidDel="00000000" w:rsidR="00000000" w:rsidRPr="00000000">
        <w:rPr>
          <w:rtl w:val="0"/>
        </w:rPr>
        <w:t xml:space="preserve">IGUAL()</w:t>
      </w:r>
      <w:r w:rsidDel="00000000" w:rsidR="00000000" w:rsidRPr="00000000">
        <w:rPr>
          <w:rtl w:val="0"/>
        </w:rPr>
        <w:t xml:space="preserve">. En consecuencia, se eliminó </w:t>
      </w:r>
      <w:r w:rsidDel="00000000" w:rsidR="00000000" w:rsidRPr="00000000">
        <w:rPr>
          <w:i w:val="1"/>
          <w:rtl w:val="0"/>
        </w:rPr>
        <w:t xml:space="preserve">OrderDate</w:t>
      </w:r>
      <w:r w:rsidDel="00000000" w:rsidR="00000000" w:rsidRPr="00000000">
        <w:rPr>
          <w:rtl w:val="0"/>
        </w:rPr>
        <w:t xml:space="preserve">. A continuación, se agregó una columna </w:t>
      </w:r>
      <w:r w:rsidDel="00000000" w:rsidR="00000000" w:rsidRPr="00000000">
        <w:rPr>
          <w:i w:val="1"/>
          <w:rtl w:val="0"/>
        </w:rPr>
        <w:t xml:space="preserve">SalesID</w:t>
      </w:r>
      <w:r w:rsidDel="00000000" w:rsidR="00000000" w:rsidRPr="00000000">
        <w:rPr>
          <w:rtl w:val="0"/>
        </w:rPr>
        <w:t xml:space="preserve"> mediante la fórmula </w:t>
      </w:r>
      <w:r w:rsidDel="00000000" w:rsidR="00000000" w:rsidRPr="00000000">
        <w:rPr>
          <w:rtl w:val="0"/>
        </w:rPr>
        <w:t xml:space="preserve">=FILA()-1</w:t>
      </w:r>
      <w:r w:rsidDel="00000000" w:rsidR="00000000" w:rsidRPr="00000000">
        <w:rPr>
          <w:rtl w:val="0"/>
        </w:rPr>
        <w:t xml:space="preserve">, marcando en verde la primera celda de cada columna nueva para su fácil identificación. También se incorporó la columna </w:t>
      </w:r>
      <w:r w:rsidDel="00000000" w:rsidR="00000000" w:rsidRPr="00000000">
        <w:rPr>
          <w:i w:val="1"/>
          <w:rtl w:val="0"/>
        </w:rPr>
        <w:t xml:space="preserve">DemorasDias</w:t>
      </w:r>
      <w:r w:rsidDel="00000000" w:rsidR="00000000" w:rsidRPr="00000000">
        <w:rPr>
          <w:rtl w:val="0"/>
        </w:rPr>
        <w:t xml:space="preserve">, que indica el tiempo transcurrido entre la venta y el envío.</w:t>
      </w:r>
    </w:p>
    <w:p w:rsidR="00000000" w:rsidDel="00000000" w:rsidP="00000000" w:rsidRDefault="00000000" w:rsidRPr="00000000" w14:paraId="00000006">
      <w:pPr>
        <w:spacing w:after="240" w:before="240" w:lineRule="auto"/>
        <w:rPr/>
      </w:pPr>
      <w:r w:rsidDel="00000000" w:rsidR="00000000" w:rsidRPr="00000000">
        <w:rPr>
          <w:rtl w:val="0"/>
        </w:rPr>
        <w:t xml:space="preserve">Se identificaron registros con fechas fuera del período especificado en la consigna. Aunque en un caso real esta información podría ser relevante, se decidió eliminarlos para evitar sobrecargar el sistema. Se renombró la columna de </w:t>
      </w:r>
      <w:r w:rsidDel="00000000" w:rsidR="00000000" w:rsidRPr="00000000">
        <w:rPr>
          <w:i w:val="1"/>
          <w:rtl w:val="0"/>
        </w:rPr>
        <w:t xml:space="preserve">TotalNetProfit</w:t>
      </w:r>
      <w:r w:rsidDel="00000000" w:rsidR="00000000" w:rsidRPr="00000000">
        <w:rPr>
          <w:rtl w:val="0"/>
        </w:rPr>
        <w:t xml:space="preserve"> como </w:t>
      </w:r>
      <w:r w:rsidDel="00000000" w:rsidR="00000000" w:rsidRPr="00000000">
        <w:rPr>
          <w:i w:val="1"/>
          <w:rtl w:val="0"/>
        </w:rPr>
        <w:t xml:space="preserve">IngresosNetos</w:t>
      </w:r>
      <w:r w:rsidDel="00000000" w:rsidR="00000000" w:rsidRPr="00000000">
        <w:rPr>
          <w:rtl w:val="0"/>
        </w:rPr>
        <w:t xml:space="preserve"> para facilitar su comprensión, además se colocó como tercera columna debido a su importancia. A su derecha se añadió la columna </w:t>
      </w:r>
      <w:r w:rsidDel="00000000" w:rsidR="00000000" w:rsidRPr="00000000">
        <w:rPr>
          <w:i w:val="1"/>
          <w:rtl w:val="0"/>
        </w:rPr>
        <w:t xml:space="preserve">Ganancia, </w:t>
      </w:r>
      <w:r w:rsidDel="00000000" w:rsidR="00000000" w:rsidRPr="00000000">
        <w:rPr>
          <w:rtl w:val="0"/>
        </w:rPr>
        <w:t xml:space="preserve">la cual se formó como </w:t>
      </w:r>
      <w:r w:rsidDel="00000000" w:rsidR="00000000" w:rsidRPr="00000000">
        <w:rPr>
          <w:i w:val="1"/>
          <w:rtl w:val="0"/>
        </w:rPr>
        <w:t xml:space="preserve">Ingresos - Costo + </w:t>
      </w:r>
      <w:r w:rsidDel="00000000" w:rsidR="00000000" w:rsidRPr="00000000">
        <w:rPr>
          <w:i w:val="1"/>
          <w:rtl w:val="0"/>
        </w:rPr>
        <w:t xml:space="preserve">CostoEnvio</w:t>
      </w:r>
      <w:r w:rsidDel="00000000" w:rsidR="00000000" w:rsidRPr="00000000">
        <w:rPr>
          <w:i w:val="1"/>
          <w:rtl w:val="0"/>
        </w:rPr>
        <w:t xml:space="preserve"> - Descuento</w:t>
      </w:r>
      <w:r w:rsidDel="00000000" w:rsidR="00000000" w:rsidRPr="00000000">
        <w:rPr>
          <w:rtl w:val="0"/>
        </w:rPr>
        <w:t xml:space="preserve">, aclaro que tomo el costo de envío como ingreso ya que este lo abona el cliente</w:t>
      </w:r>
      <w:r w:rsidDel="00000000" w:rsidR="00000000" w:rsidRPr="00000000">
        <w:rPr>
          <w:rtl w:val="0"/>
        </w:rPr>
        <w:t xml:space="preserve">. La columna </w:t>
      </w:r>
      <w:r w:rsidDel="00000000" w:rsidR="00000000" w:rsidRPr="00000000">
        <w:rPr>
          <w:i w:val="1"/>
          <w:rtl w:val="0"/>
        </w:rPr>
        <w:t xml:space="preserve">Customer</w:t>
      </w:r>
      <w:r w:rsidDel="00000000" w:rsidR="00000000" w:rsidRPr="00000000">
        <w:rPr>
          <w:rtl w:val="0"/>
        </w:rPr>
        <w:t xml:space="preserve"> fue eliminada, al ser una concatenación de otras dos columnas que no aportaba información nueva.</w:t>
      </w:r>
    </w:p>
    <w:p w:rsidR="00000000" w:rsidDel="00000000" w:rsidP="00000000" w:rsidRDefault="00000000" w:rsidRPr="00000000" w14:paraId="00000007">
      <w:pPr>
        <w:spacing w:after="240" w:before="240" w:lineRule="auto"/>
        <w:rPr/>
      </w:pPr>
      <w:r w:rsidDel="00000000" w:rsidR="00000000" w:rsidRPr="00000000">
        <w:rPr>
          <w:rtl w:val="0"/>
        </w:rPr>
        <w:t xml:space="preserve">Con la base ya depurada, se insertó una tabla dinámica en una nueva hoja para comparar los tipos de categorías y sus ingresos. En esa misma hoja se generaron tablas dinámicas adicionales, que relacionan subcategorías, mercados, regiones, años, métodos de envío y prioridades con los ingresos totales. Dado que se trataba de tablas cortas, se decidió colocarlas todas en la misma hoja, aunque, de haber sido más extensas, se habrían distribuido en hojas separadas.</w:t>
      </w:r>
    </w:p>
    <w:p w:rsidR="00000000" w:rsidDel="00000000" w:rsidP="00000000" w:rsidRDefault="00000000" w:rsidRPr="00000000" w14:paraId="00000008">
      <w:pPr>
        <w:spacing w:after="240" w:before="240" w:lineRule="auto"/>
        <w:rPr/>
      </w:pPr>
      <w:r w:rsidDel="00000000" w:rsidR="00000000" w:rsidRPr="00000000">
        <w:rPr>
          <w:rtl w:val="0"/>
        </w:rPr>
        <w:t xml:space="preserve">Este análisis permitió responder a tres preguntas clave: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Categoría más vendida:</w:t>
      </w:r>
      <w:r w:rsidDel="00000000" w:rsidR="00000000" w:rsidRPr="00000000">
        <w:rPr>
          <w:rtl w:val="0"/>
        </w:rPr>
        <w:t xml:space="preserve"> </w:t>
      </w:r>
      <w:r w:rsidDel="00000000" w:rsidR="00000000" w:rsidRPr="00000000">
        <w:rPr>
          <w:i w:val="1"/>
          <w:rtl w:val="0"/>
        </w:rPr>
        <w:t xml:space="preserve">Office Supplies</w:t>
      </w:r>
      <w:r w:rsidDel="00000000" w:rsidR="00000000" w:rsidRPr="00000000">
        <w:rPr>
          <w:rtl w:val="0"/>
        </w:rPr>
        <w:t xml:space="preserve">, con ingresos de </w:t>
      </w:r>
      <w:r w:rsidDel="00000000" w:rsidR="00000000" w:rsidRPr="00000000">
        <w:rPr>
          <w:rtl w:val="0"/>
        </w:rPr>
        <w:t xml:space="preserve">$90,453,555.</w:t>
      </w:r>
      <w:r w:rsidDel="00000000" w:rsidR="00000000" w:rsidRPr="00000000">
        <w:rPr>
          <w:rtl w:val="0"/>
        </w:rPr>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Año con mayor rentabilidad:</w:t>
      </w:r>
      <w:r w:rsidDel="00000000" w:rsidR="00000000" w:rsidRPr="00000000">
        <w:rPr>
          <w:rtl w:val="0"/>
        </w:rPr>
        <w:t xml:space="preserve"> 2014, con una diferencia de </w:t>
      </w:r>
      <w:r w:rsidDel="00000000" w:rsidR="00000000" w:rsidRPr="00000000">
        <w:rPr>
          <w:rtl w:val="0"/>
        </w:rPr>
        <w:t xml:space="preserve">$17,108,055 </w:t>
      </w:r>
      <w:r w:rsidDel="00000000" w:rsidR="00000000" w:rsidRPr="00000000">
        <w:rPr>
          <w:rtl w:val="0"/>
        </w:rPr>
        <w:t xml:space="preserve">respecto a 2013.</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rtl w:val="0"/>
        </w:rPr>
        <w:t xml:space="preserve">Método de envío más utilizado:</w:t>
      </w:r>
      <w:r w:rsidDel="00000000" w:rsidR="00000000" w:rsidRPr="00000000">
        <w:rPr>
          <w:rtl w:val="0"/>
        </w:rPr>
        <w:t xml:space="preserve"> </w:t>
      </w:r>
      <w:r w:rsidDel="00000000" w:rsidR="00000000" w:rsidRPr="00000000">
        <w:rPr>
          <w:i w:val="1"/>
          <w:rtl w:val="0"/>
        </w:rPr>
        <w:t xml:space="preserve">Standard Class</w:t>
      </w:r>
      <w:r w:rsidDel="00000000" w:rsidR="00000000" w:rsidRPr="00000000">
        <w:rPr>
          <w:rtl w:val="0"/>
        </w:rPr>
        <w:t xml:space="preserve">, determinado mediante una tabla que contabiliza las ventas por método.</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Durante la interpretación de resultados, se observaron valores anómalos en la columna </w:t>
      </w:r>
      <w:r w:rsidDel="00000000" w:rsidR="00000000" w:rsidRPr="00000000">
        <w:rPr>
          <w:i w:val="1"/>
          <w:rtl w:val="0"/>
        </w:rPr>
        <w:t xml:space="preserve">Ganancia</w:t>
      </w:r>
      <w:r w:rsidDel="00000000" w:rsidR="00000000" w:rsidRPr="00000000">
        <w:rPr>
          <w:rtl w:val="0"/>
        </w:rPr>
        <w:t xml:space="preserve">. En particular, algunos costos de envío eran desproporcionadamente altos en relación con el resto de los datos. Para corregirlo, se aplicó una fórmula que divide por 100 los valores que </w:t>
      </w:r>
      <w:r w:rsidDel="00000000" w:rsidR="00000000" w:rsidRPr="00000000">
        <w:rPr>
          <w:rtl w:val="0"/>
        </w:rPr>
        <w:t xml:space="preserve">superaban</w:t>
      </w:r>
      <w:r w:rsidDel="00000000" w:rsidR="00000000" w:rsidRPr="00000000">
        <w:rPr>
          <w:rtl w:val="0"/>
        </w:rPr>
        <w:t xml:space="preserve"> el tercer cuartil. Luego se actualizaron las fórmulas asociadas, aunque en la mayoría de los casos el ajuste no fue necesario.</w:t>
      </w:r>
    </w:p>
    <w:p w:rsidR="00000000" w:rsidDel="00000000" w:rsidP="00000000" w:rsidRDefault="00000000" w:rsidRPr="00000000" w14:paraId="0000000D">
      <w:pPr>
        <w:spacing w:after="240" w:before="240" w:lineRule="auto"/>
        <w:rPr/>
      </w:pPr>
      <w:r w:rsidDel="00000000" w:rsidR="00000000" w:rsidRPr="00000000">
        <w:rPr>
          <w:rtl w:val="0"/>
        </w:rPr>
        <w:t xml:space="preserve">En la etapa de presentación visual, se optimizaron las tablas dinámicas eliminando totales innecesarios, ordenando los datos de mayor a menor y aplicando formato condicional con una escala de verdes. También se añadieron títulos descriptivos para facilitar su interpretación. A partir de estas tablas se generaron gráficos, uno por cada análisis. Para el desglose por año, se descartó el uso de gráfico de líneas (dado que solo había un dato por año) y se optó por un gráfico circular. En el caso del análisis por segmento, se insertó un gráfico circular, por considerarlo más adecuado para mostrar proporciones.</w:t>
      </w:r>
    </w:p>
    <w:p w:rsidR="00000000" w:rsidDel="00000000" w:rsidP="00000000" w:rsidRDefault="00000000" w:rsidRPr="00000000" w14:paraId="0000000E">
      <w:pPr>
        <w:spacing w:after="240" w:before="240" w:lineRule="auto"/>
        <w:rPr/>
      </w:pPr>
      <w:r w:rsidDel="00000000" w:rsidR="00000000" w:rsidRPr="00000000">
        <w:rPr>
          <w:rtl w:val="0"/>
        </w:rPr>
        <w:t xml:space="preserve">Finalmente, se creó una hoja específica para el tablero (</w:t>
      </w:r>
      <w:r w:rsidDel="00000000" w:rsidR="00000000" w:rsidRPr="00000000">
        <w:rPr>
          <w:i w:val="1"/>
          <w:rtl w:val="0"/>
        </w:rPr>
        <w:t xml:space="preserve">dashboard</w:t>
      </w:r>
      <w:r w:rsidDel="00000000" w:rsidR="00000000" w:rsidRPr="00000000">
        <w:rPr>
          <w:rtl w:val="0"/>
        </w:rPr>
        <w:t xml:space="preserve">). Este incluye una imagen corporativa en la parte superior izquierda, título y margen izquierdo con color para dar contexto visual, así como indicadores de ingresos netos, costo total y ganancias con envío. Se insertaron los gráficos previamente generados, cada uno con filtros personalizados que permiten al cliente modificar la visualización según sus necesidades. El margen izquierdo contiene un hipervínculo en la palabra “PORTADA”, el cual te dirige a la hoja de la portada.</w:t>
      </w:r>
    </w:p>
    <w:p w:rsidR="00000000" w:rsidDel="00000000" w:rsidP="00000000" w:rsidRDefault="00000000" w:rsidRPr="00000000" w14:paraId="0000000F">
      <w:pPr>
        <w:spacing w:after="240" w:before="240" w:lineRule="auto"/>
        <w:rPr/>
      </w:pPr>
      <w:r w:rsidDel="00000000" w:rsidR="00000000" w:rsidRPr="00000000">
        <w:rPr>
          <w:rtl w:val="0"/>
        </w:rPr>
        <w:t xml:space="preserve">La navegación por el tablero es muy sencilla, basta con aplicar el filtro deseado que está ubicado arriba de cada gráfico, para que este último se adapte a la necesidades del usuario.</w:t>
      </w:r>
    </w:p>
    <w:p w:rsidR="00000000" w:rsidDel="00000000" w:rsidP="00000000" w:rsidRDefault="00000000" w:rsidRPr="00000000" w14:paraId="00000010">
      <w:pPr>
        <w:spacing w:after="240" w:before="240" w:lineRule="auto"/>
        <w:rPr/>
      </w:pPr>
      <w:r w:rsidDel="00000000" w:rsidR="00000000" w:rsidRPr="00000000">
        <w:rPr>
          <w:rtl w:val="0"/>
        </w:rPr>
        <w:t xml:space="preserve">En la última clase decidimos agregar una nueva hoja con métricas y estadística, en esta coloque una tabla de métricas que me resultaron importantes. Además, se pueden ver dos tablas, una de manera general y otra de manera anual, que muestran las ventas, el costo y las ganancias. Estas se ingresaron usando funciones como promedio, suma, mediana, y </w:t>
      </w:r>
      <w:r w:rsidDel="00000000" w:rsidR="00000000" w:rsidRPr="00000000">
        <w:rPr>
          <w:rtl w:val="0"/>
        </w:rPr>
        <w:t xml:space="preserve">filter</w:t>
      </w:r>
      <w:r w:rsidDel="00000000" w:rsidR="00000000" w:rsidRPr="00000000">
        <w:rPr>
          <w:rtl w:val="0"/>
        </w:rPr>
        <w:t xml:space="preserve">. Para facilitar la tarea a la hora de llamar a las columnas las renombre, por ejemplo, la columna de ingresos netos la llame “Ingresos”.</w:t>
      </w:r>
    </w:p>
    <w:p w:rsidR="00000000" w:rsidDel="00000000" w:rsidP="00000000" w:rsidRDefault="00000000" w:rsidRPr="00000000" w14:paraId="00000011">
      <w:pPr>
        <w:spacing w:after="240" w:before="240" w:lineRule="auto"/>
        <w:rPr/>
      </w:pPr>
      <w:r w:rsidDel="00000000" w:rsidR="00000000" w:rsidRPr="00000000">
        <w:rPr>
          <w:rtl w:val="0"/>
        </w:rPr>
        <w:t xml:space="preserve">Por último, inserte una hoja como portada para el tablero, en esta pegue una imagen simple en la parte superior izquierda, agregue un título, una imagen central y dos botones, de los cuales uno se dirige a la base de datos y otro al tablero con los gráficos.</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