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Microsoft YaHei" w:hAnsi="Microsoft YaHei" w:eastAsia="Microsoft YaHei"/>
          <w:b/>
          <w:color w:val="CE2A2A"/>
          <w:sz w:val="24"/>
        </w:rPr>
        <w:t>财税政策文件</w:t>
      </w:r>
    </w:p>
    <w:p>
      <w:pPr>
        <w:pStyle w:val="Title"/>
        <w:spacing w:before="440"/>
        <w:jc w:val="center"/>
      </w:pPr>
      <w:r>
        <w:rPr>
          <w:rFonts w:ascii="Microsoft YaHei" w:hAnsi="Microsoft YaHei" w:eastAsia="Microsoft YaHei"/>
          <w:b/>
          <w:color w:val="172A4A"/>
          <w:sz w:val="56"/>
        </w:rPr>
        <w:t>企加财税政策简报</w:t>
      </w:r>
    </w:p>
    <w:p>
      <w:pPr>
        <w:spacing w:before="240" w:after="960"/>
        <w:ind w:firstLine="0"/>
        <w:jc w:val="center"/>
      </w:pPr>
      <w:r>
        <w:rPr>
          <w:rFonts w:ascii="Microsoft YaHei" w:hAnsi="Microsoft YaHei" w:eastAsia="Microsoft YaHei"/>
          <w:b w:val="0"/>
          <w:color w:val="68717F"/>
          <w:sz w:val="28"/>
        </w:rPr>
        <w:t>截至2026年7月15日最新政策动态</w:t>
      </w:r>
    </w:p>
    <w:p>
      <w:pPr>
        <w:ind w:firstLine="0"/>
        <w:pBdr>
          <w:bottom w:val="single" w:sz="12" w:space="8" w:color="172A4A"/>
        </w:pBdr>
      </w:pPr>
    </w:p>
    <w:p>
      <w:pPr>
        <w:spacing w:before="560"/>
        <w:ind w:firstLine="0"/>
        <w:jc w:val="center"/>
      </w:pPr>
      <w:r>
        <w:rPr>
          <w:rFonts w:ascii="Microsoft YaHei" w:hAnsi="Microsoft YaHei" w:eastAsia="Microsoft YaHei"/>
          <w:b w:val="0"/>
          <w:color w:val="15181D"/>
          <w:sz w:val="22"/>
        </w:rPr>
        <w:t>2026年第01期</w:t>
        <w:br/>
        <w:br/>
        <w:t>编制日期：2026-07-15</w:t>
        <w:br/>
        <w:br/>
        <w:t>适用对象：企业管理层、财务及税务负责人</w:t>
      </w:r>
    </w:p>
    <w:p>
      <w:pPr>
        <w:spacing w:before="1040"/>
        <w:ind w:firstLine="0"/>
        <w:jc w:val="center"/>
      </w:pPr>
      <w:r>
        <w:rPr>
          <w:rFonts w:ascii="Microsoft YaHei" w:hAnsi="Microsoft YaHei" w:eastAsia="Microsoft YaHei"/>
          <w:b/>
          <w:color w:val="172A4A"/>
          <w:sz w:val="26"/>
        </w:rPr>
        <w:t>广东企加税务师事务所</w:t>
      </w:r>
    </w:p>
    <w:p>
      <w:r>
        <w:br w:type="page"/>
      </w:r>
    </w:p>
    <w:p>
      <w:pPr>
        <w:pStyle w:val="Heading1"/>
        <w:pBdr>
          <w:bottom w:val="single" w:sz="8" w:space="4" w:color="172A4A"/>
        </w:pBdr>
      </w:pPr>
      <w:r>
        <w:t>一、编制说明</w:t>
      </w:r>
    </w:p>
    <w:p>
      <w:pPr>
        <w:jc w:val="both"/>
      </w:pPr>
      <w:r>
        <w:t>本简报根据截至2026-07-15公开发布的财税政策和征管提示编制，用于帮助企业管理层、财务及税务负责人了解近期事项、判断可能影响并安排内部落实工作。文中政策摘要以公开文件为基础，执行时仍应结合具体交易事实、企业实际情况和主管机关现行口径。</w:t>
      </w:r>
    </w:p>
    <w:p>
      <w:pPr>
        <w:pStyle w:val="Heading1"/>
        <w:pBdr>
          <w:bottom w:val="single" w:sz="8" w:space="4" w:color="172A4A"/>
        </w:pBdr>
      </w:pPr>
      <w:r>
        <w:t>二、近期重点事项</w:t>
      </w:r>
    </w:p>
    <w:p>
      <w:pPr>
        <w:numPr>
          <w:ilvl w:val="0"/>
          <w:numId w:val="10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/>
          <w:color w:val="15181D"/>
          <w:sz w:val="22"/>
        </w:rPr>
        <w:t>今日申报（7月15日）：</w:t>
      </w:r>
      <w:r>
        <w:rPr>
          <w:rFonts w:ascii="Microsoft YaHei" w:hAnsi="Microsoft YaHei" w:eastAsia="Microsoft YaHei"/>
          <w:b w:val="0"/>
          <w:color w:val="15181D"/>
          <w:sz w:val="22"/>
        </w:rPr>
        <w:t>2026年7月申报纳税期限截至今日，尚未完成的企业应立即核对申报与缴款状态。</w:t>
      </w:r>
    </w:p>
    <w:p>
      <w:pPr>
        <w:numPr>
          <w:ilvl w:val="0"/>
          <w:numId w:val="10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/>
          <w:color w:val="15181D"/>
          <w:sz w:val="22"/>
        </w:rPr>
        <w:t>车船税（2027年起）：</w:t>
      </w:r>
      <w:r>
        <w:rPr>
          <w:rFonts w:ascii="Microsoft YaHei" w:hAnsi="Microsoft YaHei" w:eastAsia="Microsoft YaHei"/>
          <w:b w:val="0"/>
          <w:color w:val="15181D"/>
          <w:sz w:val="22"/>
        </w:rPr>
        <w:t>部分节能汽车、新能源商用车车船税优惠将取消，企业车队成本需提前测算。</w:t>
      </w:r>
    </w:p>
    <w:p>
      <w:pPr>
        <w:numPr>
          <w:ilvl w:val="0"/>
          <w:numId w:val="10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/>
          <w:color w:val="15181D"/>
          <w:sz w:val="22"/>
        </w:rPr>
        <w:t>财务共享（804号指引）：</w:t>
      </w:r>
      <w:r>
        <w:rPr>
          <w:rFonts w:ascii="Microsoft YaHei" w:hAnsi="Microsoft YaHei" w:eastAsia="Microsoft YaHei"/>
          <w:b w:val="0"/>
          <w:color w:val="15181D"/>
          <w:sz w:val="22"/>
        </w:rPr>
        <w:t>财政部发布财务共享服务管理会计应用指引，强调标准化、数据治理和责任不转移。</w:t>
      </w:r>
    </w:p>
    <w:p>
      <w:pPr>
        <w:numPr>
          <w:ilvl w:val="0"/>
          <w:numId w:val="10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/>
          <w:color w:val="15181D"/>
          <w:sz w:val="22"/>
        </w:rPr>
        <w:t>会计准则（解释第20号）：</w:t>
      </w:r>
      <w:r>
        <w:rPr>
          <w:rFonts w:ascii="Microsoft YaHei" w:hAnsi="Microsoft YaHei" w:eastAsia="Microsoft YaHei"/>
          <w:b w:val="0"/>
          <w:color w:val="15181D"/>
          <w:sz w:val="22"/>
        </w:rPr>
        <w:t>涉及金融资产合同现金流特征及外币折算，首次执行需评估追溯调整。</w:t>
      </w:r>
    </w:p>
    <w:p>
      <w:pPr>
        <w:pStyle w:val="Heading1"/>
        <w:pBdr>
          <w:bottom w:val="single" w:sz="8" w:space="4" w:color="172A4A"/>
        </w:pBdr>
      </w:pPr>
      <w:r>
        <w:t>三、政策内容</w:t>
      </w:r>
    </w:p>
    <w:p>
      <w:pPr>
        <w:pStyle w:val="Heading2"/>
        <w:pBdr>
          <w:bottom w:val="single" w:sz="5" w:space="3" w:color="D8DCE2"/>
        </w:pBdr>
      </w:pPr>
      <w:r>
        <w:t>1. 2026年7月申报纳税期限截至7月15日</w:t>
      </w:r>
    </w:p>
    <w:p>
      <w:pPr>
        <w:ind w:firstLine="0"/>
      </w:pPr>
      <w:r>
        <w:rPr>
          <w:rFonts w:ascii="Microsoft YaHei" w:hAnsi="Microsoft YaHei" w:eastAsia="Microsoft YaHei"/>
          <w:b/>
          <w:color w:val="172A4A"/>
          <w:sz w:val="20"/>
        </w:rPr>
        <w:t>文件信息：</w:t>
      </w:r>
      <w:r>
        <w:rPr>
          <w:rFonts w:ascii="Microsoft YaHei" w:hAnsi="Microsoft YaHei" w:eastAsia="Microsoft YaHei"/>
          <w:b w:val="0"/>
          <w:color w:val="68717F"/>
          <w:sz w:val="20"/>
        </w:rPr>
        <w:t>税总办征科函〔2025〕64号；发布日期 2026-07-03；实施或关注日期 2026-07-15；责任角色 财务/税务；建议时限 2026-07-15。</w:t>
      </w:r>
    </w:p>
    <w:p>
      <w:r>
        <w:rPr>
          <w:rFonts w:ascii="Microsoft YaHei" w:hAnsi="Microsoft YaHei" w:eastAsia="Microsoft YaHei"/>
          <w:b/>
          <w:color w:val="15181D"/>
          <w:sz w:val="22"/>
        </w:rPr>
        <w:t>政策概述：</w:t>
      </w:r>
      <w:r>
        <w:rPr>
          <w:rFonts w:ascii="Microsoft YaHei" w:hAnsi="Microsoft YaHei" w:eastAsia="Microsoft YaHei"/>
          <w:b w:val="0"/>
          <w:color w:val="15181D"/>
          <w:sz w:val="22"/>
        </w:rPr>
        <w:t>税务机关明确，2026年7月申报纳税期限截至7月15日。企业应在当日完成申报、税款缴纳，并确认银行扣款、电子税务局状态和申报表数据一致。</w:t>
      </w:r>
    </w:p>
    <w:p>
      <w:pPr>
        <w:pStyle w:val="Heading3"/>
      </w:pPr>
      <w:r>
        <w:t>（一）对企业的主要影响</w:t>
      </w:r>
    </w:p>
    <w:p>
      <w:pPr>
        <w:numPr>
          <w:ilvl w:val="0"/>
          <w:numId w:val="11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逾期申报或缴税可能产生滞纳金并影响纳税信用。</w:t>
      </w:r>
    </w:p>
    <w:p>
      <w:pPr>
        <w:numPr>
          <w:ilvl w:val="0"/>
          <w:numId w:val="11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申报完成不等于缴款完成，需单独核对扣款结果。</w:t>
      </w:r>
    </w:p>
    <w:p>
      <w:pPr>
        <w:numPr>
          <w:ilvl w:val="0"/>
          <w:numId w:val="11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增值税、企业所得税预缴、个人所得税等申报数据应与账务和发票信息一致。</w:t>
      </w:r>
    </w:p>
    <w:p>
      <w:pPr>
        <w:pStyle w:val="Heading3"/>
      </w:pPr>
      <w:r>
        <w:t>（二）建议落实事项</w:t>
      </w:r>
    </w:p>
    <w:p>
      <w:pPr>
        <w:numPr>
          <w:ilvl w:val="0"/>
          <w:numId w:val="12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立即查询全部税费种申报状态和应缴余额。</w:t>
      </w:r>
    </w:p>
    <w:p>
      <w:pPr>
        <w:numPr>
          <w:ilvl w:val="0"/>
          <w:numId w:val="12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保存申报回执、缴款凭证及异常处理记录。</w:t>
      </w:r>
    </w:p>
    <w:p>
      <w:pPr>
        <w:numPr>
          <w:ilvl w:val="0"/>
          <w:numId w:val="12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对收入、发票、账务和申报差异做书面说明。</w:t>
      </w:r>
    </w:p>
    <w:p>
      <w:pPr>
        <w:spacing w:after="200"/>
        <w:ind w:firstLine="0"/>
      </w:pPr>
      <w:r>
        <w:rPr>
          <w:rFonts w:ascii="Microsoft YaHei" w:hAnsi="Microsoft YaHei" w:eastAsia="Microsoft YaHei"/>
          <w:b/>
          <w:color w:val="172A4A"/>
          <w:sz w:val="18"/>
        </w:rPr>
        <w:t>官方来源：</w:t>
      </w:r>
      <w:r>
        <w:rPr>
          <w:rFonts w:ascii="Microsoft YaHei" w:hAnsi="Microsoft YaHei" w:eastAsia="Microsoft YaHei"/>
          <w:b w:val="0"/>
          <w:color w:val="68717F"/>
          <w:sz w:val="17"/>
        </w:rPr>
        <w:t>温馨提示：7月申报纳税期限截至7月15日</w:t>
        <w:br/>
        <w:t>https://tianjin.chinatax.gov.cn/11200000000/0200/020005/20260703105225484.shtml</w:t>
      </w:r>
    </w:p>
    <w:p>
      <w:pPr>
        <w:pStyle w:val="Heading2"/>
        <w:pBdr>
          <w:bottom w:val="single" w:sz="5" w:space="3" w:color="D8DCE2"/>
        </w:pBdr>
      </w:pPr>
      <w:r>
        <w:t>2. 节能汽车、新能源汽车车船税优惠政策调整</w:t>
      </w:r>
    </w:p>
    <w:p>
      <w:pPr>
        <w:ind w:firstLine="0"/>
      </w:pPr>
      <w:r>
        <w:rPr>
          <w:rFonts w:ascii="Microsoft YaHei" w:hAnsi="Microsoft YaHei" w:eastAsia="Microsoft YaHei"/>
          <w:b/>
          <w:color w:val="172A4A"/>
          <w:sz w:val="20"/>
        </w:rPr>
        <w:t>文件信息：</w:t>
      </w:r>
      <w:r>
        <w:rPr>
          <w:rFonts w:ascii="Microsoft YaHei" w:hAnsi="Microsoft YaHei" w:eastAsia="Microsoft YaHei"/>
          <w:b w:val="0"/>
          <w:color w:val="68717F"/>
          <w:sz w:val="20"/>
        </w:rPr>
        <w:t>财政部 税务总局 工业和信息化部公告2026年第19号；发布日期 2026-07-02；实施或关注日期 2027-01-01；责任角色 资产/财务/税务；建议时限 2026-12-31。</w:t>
      </w:r>
    </w:p>
    <w:p>
      <w:r>
        <w:rPr>
          <w:rFonts w:ascii="Microsoft YaHei" w:hAnsi="Microsoft YaHei" w:eastAsia="Microsoft YaHei"/>
          <w:b/>
          <w:color w:val="15181D"/>
          <w:sz w:val="22"/>
        </w:rPr>
        <w:t>政策概述：</w:t>
      </w:r>
      <w:r>
        <w:rPr>
          <w:rFonts w:ascii="Microsoft YaHei" w:hAnsi="Microsoft YaHei" w:eastAsia="Microsoft YaHei"/>
          <w:b w:val="0"/>
          <w:color w:val="15181D"/>
          <w:sz w:val="22"/>
        </w:rPr>
        <w:t>自2027年1月1日起，取消节能汽车减半征收车船税以及纯电动商用车、插电式混合动力商用车、燃料电池商用车免征车船税优惠。符合条件的存量和新增车辆均按规定缴纳车船税。</w:t>
      </w:r>
    </w:p>
    <w:p>
      <w:pPr>
        <w:pStyle w:val="Heading3"/>
      </w:pPr>
      <w:r>
        <w:t>（一）对企业的主要影响</w:t>
      </w:r>
    </w:p>
    <w:p>
      <w:pPr>
        <w:numPr>
          <w:ilvl w:val="0"/>
          <w:numId w:val="13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拥有相关商用车或节能汽车的企业将增加年度车船税成本。</w:t>
      </w:r>
    </w:p>
    <w:p>
      <w:pPr>
        <w:numPr>
          <w:ilvl w:val="0"/>
          <w:numId w:val="13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车辆采购、租赁和更新方案需要重新比较全生命周期成本。</w:t>
      </w:r>
    </w:p>
    <w:p>
      <w:pPr>
        <w:numPr>
          <w:ilvl w:val="0"/>
          <w:numId w:val="13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资产台账、预算和合同定价可能需要同步调整。</w:t>
      </w:r>
    </w:p>
    <w:p>
      <w:pPr>
        <w:pStyle w:val="Heading3"/>
      </w:pPr>
      <w:r>
        <w:t>（二）建议落实事项</w:t>
      </w:r>
    </w:p>
    <w:p>
      <w:pPr>
        <w:numPr>
          <w:ilvl w:val="0"/>
          <w:numId w:val="14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梳理车辆类型、登记信息和当前优惠资格。</w:t>
      </w:r>
    </w:p>
    <w:p>
      <w:pPr>
        <w:numPr>
          <w:ilvl w:val="0"/>
          <w:numId w:val="14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测算2027年度新增税负并纳入预算。</w:t>
      </w:r>
    </w:p>
    <w:p>
      <w:pPr>
        <w:numPr>
          <w:ilvl w:val="0"/>
          <w:numId w:val="14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更新车辆采购审批和租赁成本模型。</w:t>
      </w:r>
    </w:p>
    <w:p>
      <w:pPr>
        <w:spacing w:after="200"/>
        <w:ind w:firstLine="0"/>
      </w:pPr>
      <w:r>
        <w:rPr>
          <w:rFonts w:ascii="Microsoft YaHei" w:hAnsi="Microsoft YaHei" w:eastAsia="Microsoft YaHei"/>
          <w:b/>
          <w:color w:val="172A4A"/>
          <w:sz w:val="18"/>
        </w:rPr>
        <w:t>官方来源：</w:t>
      </w:r>
      <w:r>
        <w:rPr>
          <w:rFonts w:ascii="Microsoft YaHei" w:hAnsi="Microsoft YaHei" w:eastAsia="Microsoft YaHei"/>
          <w:b w:val="0"/>
          <w:color w:val="68717F"/>
          <w:sz w:val="17"/>
        </w:rPr>
        <w:t>关于调整节能汽车、新能源汽车车船税优惠政策的公告</w:t>
        <w:br/>
        <w:t>https://tianjin.chinatax.gov.cn/11200000000/0300/030004/03000418/20260706142433259.shtml</w:t>
      </w:r>
    </w:p>
    <w:p>
      <w:pPr>
        <w:pStyle w:val="Heading2"/>
        <w:pBdr>
          <w:bottom w:val="single" w:sz="5" w:space="3" w:color="D8DCE2"/>
        </w:pBdr>
      </w:pPr>
      <w:r>
        <w:t>3. 管理会计应用指引第804号——财务共享服务发布</w:t>
      </w:r>
    </w:p>
    <w:p>
      <w:pPr>
        <w:ind w:firstLine="0"/>
      </w:pPr>
      <w:r>
        <w:rPr>
          <w:rFonts w:ascii="Microsoft YaHei" w:hAnsi="Microsoft YaHei" w:eastAsia="Microsoft YaHei"/>
          <w:b/>
          <w:color w:val="172A4A"/>
          <w:sz w:val="20"/>
        </w:rPr>
        <w:t>文件信息：</w:t>
      </w:r>
      <w:r>
        <w:rPr>
          <w:rFonts w:ascii="Microsoft YaHei" w:hAnsi="Microsoft YaHei" w:eastAsia="Microsoft YaHei"/>
          <w:b w:val="0"/>
          <w:color w:val="68717F"/>
          <w:sz w:val="20"/>
        </w:rPr>
        <w:t>财会〔2026〕9号；发布日期 2026-07-01；实施或关注日期 2026-06-23；责任角色 财务/内控/信息化；建议时限 持续推进。</w:t>
      </w:r>
    </w:p>
    <w:p>
      <w:r>
        <w:rPr>
          <w:rFonts w:ascii="Microsoft YaHei" w:hAnsi="Microsoft YaHei" w:eastAsia="Microsoft YaHei"/>
          <w:b/>
          <w:color w:val="15181D"/>
          <w:sz w:val="22"/>
        </w:rPr>
        <w:t>政策概述：</w:t>
      </w:r>
      <w:r>
        <w:rPr>
          <w:rFonts w:ascii="Microsoft YaHei" w:hAnsi="Microsoft YaHei" w:eastAsia="Microsoft YaHei"/>
          <w:b w:val="0"/>
          <w:color w:val="15181D"/>
          <w:sz w:val="22"/>
        </w:rPr>
        <w:t>指引覆盖费用、应收应付、会计核算、资金资产、税务管理和档案等共享服务，强调标准化、流程控制、数据治理、监控预警和安全管理。实行共享服务不转移单位及负责人依法承担的责任。</w:t>
      </w:r>
    </w:p>
    <w:p>
      <w:pPr>
        <w:pStyle w:val="Heading3"/>
      </w:pPr>
      <w:r>
        <w:t>（一）对企业的主要影响</w:t>
      </w:r>
    </w:p>
    <w:p>
      <w:pPr>
        <w:numPr>
          <w:ilvl w:val="0"/>
          <w:numId w:val="15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共享中心不能替代业务主体、财务负责人和管理层的法定责任。</w:t>
      </w:r>
    </w:p>
    <w:p>
      <w:pPr>
        <w:numPr>
          <w:ilvl w:val="0"/>
          <w:numId w:val="15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会计政策、单据附件、主数据和审批权限需要统一标准。</w:t>
      </w:r>
    </w:p>
    <w:p>
      <w:pPr>
        <w:numPr>
          <w:ilvl w:val="0"/>
          <w:numId w:val="15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跨系统数据质量和异常处理将成为内控重点。</w:t>
      </w:r>
    </w:p>
    <w:p>
      <w:pPr>
        <w:pStyle w:val="Heading3"/>
      </w:pPr>
      <w:r>
        <w:t>（二）建议落实事项</w:t>
      </w:r>
    </w:p>
    <w:p>
      <w:pPr>
        <w:numPr>
          <w:ilvl w:val="0"/>
          <w:numId w:val="16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评估现有共享流程是否有统一制度和证据链。</w:t>
      </w:r>
    </w:p>
    <w:p>
      <w:pPr>
        <w:numPr>
          <w:ilvl w:val="0"/>
          <w:numId w:val="16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明确业务、共享中心和管理层的责任边界。</w:t>
      </w:r>
    </w:p>
    <w:p>
      <w:pPr>
        <w:numPr>
          <w:ilvl w:val="0"/>
          <w:numId w:val="16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建立主数据、异常事项和税务风险的监控机制。</w:t>
      </w:r>
    </w:p>
    <w:p>
      <w:pPr>
        <w:spacing w:after="200"/>
        <w:ind w:firstLine="0"/>
      </w:pPr>
      <w:r>
        <w:rPr>
          <w:rFonts w:ascii="Microsoft YaHei" w:hAnsi="Microsoft YaHei" w:eastAsia="Microsoft YaHei"/>
          <w:b/>
          <w:color w:val="172A4A"/>
          <w:sz w:val="18"/>
        </w:rPr>
        <w:t>官方来源：</w:t>
      </w:r>
      <w:r>
        <w:rPr>
          <w:rFonts w:ascii="Microsoft YaHei" w:hAnsi="Microsoft YaHei" w:eastAsia="Microsoft YaHei"/>
          <w:b w:val="0"/>
          <w:color w:val="68717F"/>
          <w:sz w:val="17"/>
        </w:rPr>
        <w:t>关于印发《管理会计应用指引第804号——财务共享服务》的通知</w:t>
        <w:br/>
        <w:t>https://kjs.mof.gov.cn/zhengcefabu/202606/t20260630_3992536.htm</w:t>
      </w:r>
    </w:p>
    <w:p>
      <w:pPr>
        <w:pStyle w:val="Heading2"/>
        <w:pBdr>
          <w:bottom w:val="single" w:sz="5" w:space="3" w:color="D8DCE2"/>
        </w:pBdr>
      </w:pPr>
      <w:r>
        <w:t>4. 企业会计准则解释第20号施行</w:t>
      </w:r>
    </w:p>
    <w:p>
      <w:pPr>
        <w:ind w:firstLine="0"/>
      </w:pPr>
      <w:r>
        <w:rPr>
          <w:rFonts w:ascii="Microsoft YaHei" w:hAnsi="Microsoft YaHei" w:eastAsia="Microsoft YaHei"/>
          <w:b/>
          <w:color w:val="172A4A"/>
          <w:sz w:val="20"/>
        </w:rPr>
        <w:t>文件信息：</w:t>
      </w:r>
      <w:r>
        <w:rPr>
          <w:rFonts w:ascii="Microsoft YaHei" w:hAnsi="Microsoft YaHei" w:eastAsia="Microsoft YaHei"/>
          <w:b w:val="0"/>
          <w:color w:val="68717F"/>
          <w:sz w:val="20"/>
        </w:rPr>
        <w:t>财会〔2026〕7号；发布日期 2026-06-17；实施或关注日期 2026-06-04；责任角色 财务/审计；建议时限 2026年度报告前。</w:t>
      </w:r>
    </w:p>
    <w:p>
      <w:r>
        <w:rPr>
          <w:rFonts w:ascii="Microsoft YaHei" w:hAnsi="Microsoft YaHei" w:eastAsia="Microsoft YaHei"/>
          <w:b/>
          <w:color w:val="15181D"/>
          <w:sz w:val="22"/>
        </w:rPr>
        <w:t>政策概述：</w:t>
      </w:r>
      <w:r>
        <w:rPr>
          <w:rFonts w:ascii="Microsoft YaHei" w:hAnsi="Microsoft YaHei" w:eastAsia="Microsoft YaHei"/>
          <w:b w:val="0"/>
          <w:color w:val="15181D"/>
          <w:sz w:val="22"/>
        </w:rPr>
        <w:t>解释第20号涉及金融资产合同现金流量特征评估和外币折算等问题，自公布之日起施行。首次执行按规定追溯调整，累计影响调整2026年1月1日留存收益及相关报表项目，无需调整前期比较数据。</w:t>
      </w:r>
    </w:p>
    <w:p>
      <w:pPr>
        <w:pStyle w:val="Heading3"/>
      </w:pPr>
      <w:r>
        <w:t>（一）对企业的主要影响</w:t>
      </w:r>
    </w:p>
    <w:p>
      <w:pPr>
        <w:numPr>
          <w:ilvl w:val="0"/>
          <w:numId w:val="17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部分金融工具分类和计量判断需要重新核对。</w:t>
      </w:r>
    </w:p>
    <w:p>
      <w:pPr>
        <w:numPr>
          <w:ilvl w:val="0"/>
          <w:numId w:val="17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存在境外经营或外币交易的企业需复核折算处理。</w:t>
      </w:r>
    </w:p>
    <w:p>
      <w:pPr>
        <w:numPr>
          <w:ilvl w:val="0"/>
          <w:numId w:val="17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追溯调整可能影响2026年期初留存收益和相关披露。</w:t>
      </w:r>
    </w:p>
    <w:p>
      <w:pPr>
        <w:pStyle w:val="Heading3"/>
      </w:pPr>
      <w:r>
        <w:t>（二）建议落实事项</w:t>
      </w:r>
    </w:p>
    <w:p>
      <w:pPr>
        <w:numPr>
          <w:ilvl w:val="0"/>
          <w:numId w:val="18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识别受影响的金融资产、外币交易和境外经营。</w:t>
      </w:r>
    </w:p>
    <w:p>
      <w:pPr>
        <w:numPr>
          <w:ilvl w:val="0"/>
          <w:numId w:val="18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形成合同现金流特征和会计判断底稿。</w:t>
      </w:r>
    </w:p>
    <w:p>
      <w:pPr>
        <w:numPr>
          <w:ilvl w:val="0"/>
          <w:numId w:val="18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评估期初调整金额、报表列报和附注披露。</w:t>
      </w:r>
    </w:p>
    <w:p>
      <w:pPr>
        <w:spacing w:after="200"/>
        <w:ind w:firstLine="0"/>
      </w:pPr>
      <w:r>
        <w:rPr>
          <w:rFonts w:ascii="Microsoft YaHei" w:hAnsi="Microsoft YaHei" w:eastAsia="Microsoft YaHei"/>
          <w:b/>
          <w:color w:val="172A4A"/>
          <w:sz w:val="18"/>
        </w:rPr>
        <w:t>官方来源：</w:t>
      </w:r>
      <w:r>
        <w:rPr>
          <w:rFonts w:ascii="Microsoft YaHei" w:hAnsi="Microsoft YaHei" w:eastAsia="Microsoft YaHei"/>
          <w:b w:val="0"/>
          <w:color w:val="68717F"/>
          <w:sz w:val="17"/>
        </w:rPr>
        <w:t>关于印发《企业会计准则解释第20号》的通知</w:t>
        <w:br/>
        <w:t>https://kjs.mof.gov.cn/zhengcefabu/202606/t20260615_3991686.htm</w:t>
      </w:r>
    </w:p>
    <w:p>
      <w:pPr>
        <w:pStyle w:val="Heading1"/>
        <w:pBdr>
          <w:bottom w:val="single" w:sz="8" w:space="4" w:color="172A4A"/>
        </w:pBdr>
      </w:pPr>
      <w:r>
        <w:t>四、内部执行建议</w:t>
      </w:r>
    </w:p>
    <w:p>
      <w:pPr>
        <w:numPr>
          <w:ilvl w:val="0"/>
          <w:numId w:val="19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完成7月全部税费种申报与缴款复核，保存回执和异常记录。（责任角色：财务/税务；建议时限：2026-07-15；当前状态：待处理）</w:t>
      </w:r>
    </w:p>
    <w:p>
      <w:pPr>
        <w:numPr>
          <w:ilvl w:val="0"/>
          <w:numId w:val="19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完成车辆台账与优惠资格清单，测算2027年车船税增量。（责任角色：资产/财务；建议时限：2026-09-30；当前状态：待处理）</w:t>
      </w:r>
    </w:p>
    <w:p>
      <w:pPr>
        <w:numPr>
          <w:ilvl w:val="0"/>
          <w:numId w:val="19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对照804号指引检查共享流程、主数据、责任边界和异常处理。（责任角色：财务/内控/信息化；建议时限：2026-08-31；当前状态：待处理）</w:t>
      </w:r>
    </w:p>
    <w:p>
      <w:pPr>
        <w:numPr>
          <w:ilvl w:val="0"/>
          <w:numId w:val="19"/>
        </w:numPr>
        <w:spacing w:after="100" w:line="360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22"/>
        </w:rPr>
        <w:t>识别解释第20号适用事项并形成会计判断与期初调整底稿。（责任角色：财务/审计；建议时限：2026年度报告前；当前状态：待处理）</w:t>
      </w:r>
    </w:p>
    <w:p>
      <w:pPr>
        <w:pStyle w:val="Heading1"/>
        <w:pBdr>
          <w:bottom w:val="single" w:sz="8" w:space="4" w:color="172A4A"/>
        </w:pBdr>
      </w:pPr>
      <w:r>
        <w:t>五、资料来源及使用说明</w:t>
      </w:r>
    </w:p>
    <w:p>
      <w:pPr>
        <w:numPr>
          <w:ilvl w:val="0"/>
          <w:numId w:val="20"/>
        </w:numPr>
        <w:spacing w:after="40" w:line="283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18"/>
        </w:rPr>
        <w:t>温馨提示：7月申报纳税期限截至7月15日，税总办征科函〔2025〕64号，https://tianjin.chinatax.gov.cn/11200000000/0200/020005/20260703105225484.shtml</w:t>
      </w:r>
    </w:p>
    <w:p>
      <w:pPr>
        <w:numPr>
          <w:ilvl w:val="0"/>
          <w:numId w:val="20"/>
        </w:numPr>
        <w:spacing w:after="40" w:line="283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18"/>
        </w:rPr>
        <w:t>关于调整节能汽车、新能源汽车车船税优惠政策的公告，财政部 税务总局 工业和信息化部公告2026年第19号，https://tianjin.chinatax.gov.cn/11200000000/0300/030004/03000418/20260706142433259.shtml</w:t>
      </w:r>
    </w:p>
    <w:p>
      <w:pPr>
        <w:numPr>
          <w:ilvl w:val="0"/>
          <w:numId w:val="20"/>
        </w:numPr>
        <w:spacing w:after="40" w:line="283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18"/>
        </w:rPr>
        <w:t>关于印发《管理会计应用指引第804号——财务共享服务》的通知，财会〔2026〕9号，https://kjs.mof.gov.cn/zhengcefabu/202606/t20260630_3992536.htm</w:t>
      </w:r>
    </w:p>
    <w:p>
      <w:pPr>
        <w:numPr>
          <w:ilvl w:val="0"/>
          <w:numId w:val="20"/>
        </w:numPr>
        <w:spacing w:after="40" w:line="283" w:lineRule="auto"/>
        <w:ind w:left="425" w:hanging="198"/>
      </w:pPr>
      <w:r>
        <w:rPr>
          <w:rFonts w:ascii="Microsoft YaHei" w:hAnsi="Microsoft YaHei" w:eastAsia="Microsoft YaHei"/>
          <w:b w:val="0"/>
          <w:color w:val="15181D"/>
          <w:sz w:val="18"/>
        </w:rPr>
        <w:t>关于印发《企业会计准则解释第20号》的通知，财会〔2026〕7号，https://kjs.mof.gov.cn/zhengcefabu/202606/t20260615_3991686.htm</w:t>
      </w:r>
    </w:p>
    <w:p>
      <w:pPr>
        <w:spacing w:before="160" w:after="160"/>
        <w:ind w:firstLine="420"/>
        <w:pBdr>
          <w:top w:val="single" w:sz="7" w:space="5" w:color="CE2A2A"/>
        </w:pBdr>
      </w:pPr>
      <w:r>
        <w:rPr>
          <w:rFonts w:ascii="Microsoft YaHei" w:hAnsi="Microsoft YaHei" w:eastAsia="Microsoft YaHei"/>
          <w:b/>
          <w:color w:val="172A4A"/>
          <w:sz w:val="21"/>
        </w:rPr>
        <w:t>使用说明：</w:t>
      </w:r>
      <w:r>
        <w:rPr>
          <w:rFonts w:ascii="Microsoft YaHei" w:hAnsi="Microsoft YaHei" w:eastAsia="Microsoft YaHei"/>
          <w:b w:val="0"/>
          <w:color w:val="15181D"/>
          <w:sz w:val="21"/>
        </w:rPr>
        <w:t>本简报依据截至2026年7月15日公开政策整理，仅供内部学习和管理参考。具体业务处理应结合交易事实、现行有效法规及主管机关当前口径执行。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1276" w:right="1389" w:bottom="1134" w:left="1502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8717F"/>
        <w:sz w:val="16"/>
      </w:rPr>
      <w:t xml:space="preserve">广东企加税务师事务所  | 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8717F"/>
        <w:sz w:val="16"/>
      </w:rPr>
      <w:t xml:space="preserve">广东企加税务师事务所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pPr>
            <w:jc w:val="left"/>
            <w:pBdr>
              <w:bottom w:val="single" w:sz="7" w:space="4" w:color="CE2A2A"/>
            </w:pBdr>
          </w:pPr>
          <w:r>
            <w:drawing>
              <wp:inline xmlns:a="http://schemas.openxmlformats.org/drawingml/2006/main" xmlns:pic="http://schemas.openxmlformats.org/drawingml/2006/picture">
                <wp:extent cx="198000" cy="2596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qijia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" cy="2596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/>
              <w:b/>
              <w:color w:val="172A4A"/>
              <w:sz w:val="19"/>
            </w:rPr>
            <w:t xml:space="preserve">  广东企加税务师事务所</w:t>
          </w:r>
        </w:p>
      </w:tc>
      <w:tc>
        <w:tcPr>
          <w:tcW w:type="dxa" w:w="4819"/>
        </w:tcPr>
        <w:p>
          <w:pPr>
            <w:jc w:val="right"/>
            <w:pBdr>
              <w:bottom w:val="single" w:sz="7" w:space="4" w:color="CE2A2A"/>
            </w:pBdr>
          </w:pPr>
          <w:r>
            <w:rPr>
              <w:rFonts w:ascii="Microsoft YaHei" w:hAnsi="Microsoft YaHei" w:eastAsia="Microsoft YaHei"/>
              <w:b w:val="0"/>
              <w:color w:val="68717F"/>
              <w:sz w:val="17"/>
            </w:rPr>
            <w:t>2026-07-15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pPr>
            <w:jc w:val="left"/>
            <w:pBdr>
              <w:bottom w:val="single" w:sz="7" w:space="4" w:color="CE2A2A"/>
            </w:pBdr>
          </w:pPr>
          <w:r>
            <w:drawing>
              <wp:inline xmlns:a="http://schemas.openxmlformats.org/drawingml/2006/main" xmlns:pic="http://schemas.openxmlformats.org/drawingml/2006/picture">
                <wp:extent cx="198000" cy="2596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qijia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" cy="2596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/>
              <w:b/>
              <w:color w:val="172A4A"/>
              <w:sz w:val="19"/>
            </w:rPr>
            <w:t xml:space="preserve">  广东企加税务师事务所</w:t>
          </w:r>
        </w:p>
      </w:tc>
      <w:tc>
        <w:tcPr>
          <w:tcW w:type="dxa" w:w="4819"/>
        </w:tcPr>
        <w:p>
          <w:pPr>
            <w:jc w:val="right"/>
            <w:pBdr>
              <w:bottom w:val="single" w:sz="7" w:space="4" w:color="CE2A2A"/>
            </w:pBdr>
          </w:pPr>
          <w:r>
            <w:rPr>
              <w:rFonts w:ascii="Microsoft YaHei" w:hAnsi="Microsoft YaHei" w:eastAsia="Microsoft YaHei"/>
              <w:b w:val="0"/>
              <w:color w:val="68717F"/>
              <w:sz w:val="17"/>
            </w:rPr>
            <w:t>2026-07-15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420"/>
      <w:jc w:val="both"/>
    </w:pPr>
    <w:rPr>
      <w:rFonts w:ascii="Microsoft YaHei" w:hAnsi="Microsoft YaHei" w:eastAsia="Microsoft YaHei"/>
      <w:color w:val="1518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ind w:firstLine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A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A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企加财税政策简报</dc:title>
  <dc:subject>截至2026年7月15日最新政策动态</dc:subject>
  <dc:creator>广东企加税务师事务所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