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5DD9" w14:textId="4CB678B6" w:rsidR="00A7319D" w:rsidRDefault="00A7319D">
      <w:r w:rsidRPr="00A7319D">
        <w:drawing>
          <wp:inline distT="0" distB="0" distL="0" distR="0" wp14:anchorId="0F41BA5B" wp14:editId="6796FF89">
            <wp:extent cx="5700254" cy="5143946"/>
            <wp:effectExtent l="0" t="0" r="0" b="0"/>
            <wp:docPr id="58912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29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9D"/>
    <w:rsid w:val="00A7319D"/>
    <w:rsid w:val="00BD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3C9D"/>
  <w15:chartTrackingRefBased/>
  <w15:docId w15:val="{6DBC2E6F-EA12-48E8-BE54-E33394BA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GILLIGAN, Cara (UNIVERSITY HOSPITALS PLYMOUTH NHS TRUST)</dc:creator>
  <cp:keywords/>
  <dc:description/>
  <cp:lastModifiedBy>GILLIGAN, Cara (UNIVERSITY HOSPITALS PLYMOUTH NHS TRUST)</cp:lastModifiedBy>
  <cp:revision>1</cp:revision>
  <dcterms:created xsi:type="dcterms:W3CDTF">2026-02-19T13:58:00Z</dcterms:created>
  <dcterms:modified xsi:type="dcterms:W3CDTF">2026-02-19T13:59:00Z</dcterms:modified>
</cp:coreProperties>
</file>