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Цели данной лабораторной работы</w:t>
      </w:r>
    </w:p>
    <w:p>
      <w:pPr>
        <w:numPr>
          <w:ilvl w:val="0"/>
          <w:numId w:val="1001"/>
        </w:numPr>
      </w:pPr>
      <w:r>
        <w:t xml:space="preserve">Рассмотреть модель фирмы, 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отсутствуют.</w:t>
      </w:r>
    </w:p>
    <w:p>
      <w:pPr>
        <w:numPr>
          <w:ilvl w:val="0"/>
          <w:numId w:val="1001"/>
        </w:numPr>
      </w:pPr>
      <w:r>
        <w:t xml:space="preserve">Построить модель конкуренции двух фирм</w:t>
      </w:r>
    </w:p>
    <w:bookmarkEnd w:id="20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 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 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End w:id="22"/>
    <w:bookmarkStart w:id="29" w:name="задача"/>
    <w:p>
      <w:pPr>
        <w:pStyle w:val="Heading1"/>
      </w:pPr>
      <w:r>
        <w:t xml:space="preserve">Задача</w:t>
      </w:r>
    </w:p>
    <w:bookmarkStart w:id="25" w:name="случай"/>
    <w:p>
      <w:pPr>
        <w:pStyle w:val="Heading2"/>
      </w:pPr>
      <w:r>
        <w:t xml:space="preserve">1 Случай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CaptionedFigure"/>
      </w:pPr>
      <w:bookmarkStart w:id="24" w:name="fig:001"/>
      <w:r>
        <w:drawing>
          <wp:inline>
            <wp:extent cx="5334000" cy="5251141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BodyText"/>
      </w:pPr>
      <w:r>
        <w:t xml:space="preserve">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bookmarkEnd w:id="25"/>
    <w:bookmarkStart w:id="28" w:name="случай-1"/>
    <w:p>
      <w:pPr>
        <w:pStyle w:val="Heading2"/>
      </w:pPr>
      <w:r>
        <w:t xml:space="preserve">2 Случай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CaptionedFigure"/>
      </w:pPr>
      <w:bookmarkStart w:id="27" w:name="fig:002"/>
      <w:r>
        <w:drawing>
          <wp:inline>
            <wp:extent cx="5334000" cy="5251141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График для случая 2</w:t>
      </w:r>
    </w:p>
    <w:p>
      <w:pPr>
        <w:pStyle w:val="BodyText"/>
      </w:pPr>
      <w:r>
        <w:t xml:space="preserve">По графику видно, что вторая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первой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изучила модель изменения оборотных средств фирмы и конкуренцию двух фирм. Я построила графики для разных случаев</w:t>
      </w:r>
      <w:r>
        <w:t xml:space="preserve"> </w:t>
      </w:r>
      <w:r>
        <w:t xml:space="preserve">изменения оборота.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2021-04-03T18:24:30Z</dcterms:created>
  <dcterms:modified xsi:type="dcterms:W3CDTF">2021-04-03T18:24:30Z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