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11</w:t>
      </w:r>
    </w:p>
    <w:p>
      <w:pPr>
        <w:numPr>
          <w:ilvl w:val="0"/>
          <w:numId w:val="1001"/>
        </w:numPr>
        <w:pStyle w:val="Compact"/>
      </w:pPr>
      <w:r>
        <w:t xml:space="preserve">W folderze Debug11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8 pkt.</w:t>
      </w:r>
    </w:p>
    <w:p>
      <w:pPr>
        <w:numPr>
          <w:ilvl w:val="0"/>
          <w:numId w:val="1002"/>
        </w:numPr>
        <w:pStyle w:val="Compact"/>
      </w:pPr>
      <w:r>
        <w:t xml:space="preserve">Napisz funkcję, która jako argument otrzymuje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 zwraca liczbę równą sumie liczb naturalnych nieparzystych mniejszych niż</w:t>
      </w:r>
      <w:r>
        <w:t xml:space="preserve"> </w:t>
      </w:r>
      <m:oMath>
        <m:r>
          <m:t>n</m:t>
        </m:r>
      </m:oMath>
      <w:r>
        <w:t xml:space="preserve">. Nie korzystaj z żadnych gotowych funkcji bibliotecznych ani wbudowanych. Stwórz dwa przypadki testowe dla funkcji.</w:t>
      </w:r>
    </w:p>
    <w:p>
      <w:pPr>
        <w:pStyle w:val="FirstParagraph"/>
      </w:pPr>
      <w:r>
        <w:t xml:space="preserve">Przypadki testowe: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wyjście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</w:tbl>
    <w:p>
      <w:pPr>
        <w:pStyle w:val="BodyText"/>
      </w:pPr>
      <w:r>
        <w:rPr>
          <w:i/>
        </w:rPr>
        <w:t xml:space="preserve">Punktacja: 8 pkt.</w:t>
      </w:r>
    </w:p>
    <w:p>
      <w:pPr>
        <w:numPr>
          <w:ilvl w:val="0"/>
          <w:numId w:val="1003"/>
        </w:numPr>
        <w:pStyle w:val="Compact"/>
      </w:pPr>
      <w:r>
        <w:t xml:space="preserve">Napisz bezargumentową funkcję, która rezerwuje miejsce w pamięci na dwie zmienne typu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 wpisuje do nich odpowiednio wartości 2.8 i 3.2 oraz zwraca wskaźnik na drugą ze zmiennych. Stwórz przypadek testowy dla funkcji.</w:t>
      </w:r>
    </w:p>
    <w:p>
      <w:pPr>
        <w:pStyle w:val="FirstParagraph"/>
      </w:pPr>
      <w:r>
        <w:rPr>
          <w:i/>
        </w:rPr>
        <w:t xml:space="preserve">Punktacja: 9 pkt.</w:t>
      </w:r>
    </w:p>
    <w:p>
      <w:pPr>
        <w:numPr>
          <w:ilvl w:val="0"/>
          <w:numId w:val="1004"/>
        </w:numPr>
        <w:pStyle w:val="Compact"/>
      </w:pPr>
      <w:r>
        <w:t xml:space="preserve">Napisz funkcję rekurencyjną, która dla otrzymanej w argumencie nieujemnej liczby całkowitej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zwraca</w:t>
      </w:r>
      <w:r>
        <w:t xml:space="preserve"> </w:t>
      </w:r>
      <w:r>
        <w:t xml:space="preserve">wartość elementu o indeksie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ciągu zdefiniowanego w następujący sposób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n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Stwórz dwa przypadki testowe dla funkcji.</w:t>
      </w:r>
    </w:p>
    <w:p>
      <w:pPr>
        <w:pStyle w:val="BodyText"/>
      </w:pPr>
      <w:r>
        <w:t xml:space="preserve">Przypadki testowe: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  <m:r>
                <m:t>≈</m:t>
              </m:r>
              <m:r>
                <m:t>2.6667</m:t>
              </m:r>
            </m:oMath>
          </w:p>
        </w:tc>
      </w:tr>
    </w:tbl>
    <w:p>
      <w:pPr>
        <w:pStyle w:val="BodyText"/>
      </w:pPr>
      <w:r>
        <w:rPr>
          <w:i/>
        </w:rPr>
        <w:t xml:space="preserve">Punktacja: 10 pkt.</w:t>
      </w:r>
    </w:p>
    <w:p>
      <w:pPr>
        <w:numPr>
          <w:ilvl w:val="0"/>
          <w:numId w:val="1005"/>
        </w:numPr>
        <w:pStyle w:val="Compact"/>
      </w:pPr>
      <w:r>
        <w:t xml:space="preserve">Napisz funkcje porównująca dwie tablice jednowymiarowe o takich samych rozmiarach o wartościach typu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 Funkcja ma zwrócić 1, gdy elementy w obu tablicach są</w:t>
      </w:r>
      <w:r>
        <w:t xml:space="preserve"> </w:t>
      </w:r>
      <w:r>
        <w:t xml:space="preserve">“</w:t>
      </w:r>
      <w:r>
        <w:t xml:space="preserve">równe</w:t>
      </w:r>
      <w:r>
        <w:t xml:space="preserve">”</w:t>
      </w:r>
      <w:r>
        <w:t xml:space="preserve">, a 0 w przeciwnym wypadku. Przyjmij, że dwa elementy typu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są</w:t>
      </w:r>
      <w:r>
        <w:t xml:space="preserve"> </w:t>
      </w:r>
      <w:r>
        <w:t xml:space="preserve">“</w:t>
      </w:r>
      <w:r>
        <w:t xml:space="preserve">równe</w:t>
      </w:r>
      <w:r>
        <w:t xml:space="preserve">”</w:t>
      </w:r>
      <w:r>
        <w:t xml:space="preserve">, jeśli wartość bezwzględna ich różnicy jest mniejsza lub równa 0.1. Stwórz dwa przypadki testowe dla funkcji.</w:t>
      </w:r>
    </w:p>
    <w:p>
      <w:pPr>
        <w:pStyle w:val="FirstParagraph"/>
      </w:pPr>
      <w:r>
        <w:rPr>
          <w:i/>
        </w:rPr>
        <w:t xml:space="preserve">Punktacja: 10 pkt. Extra 5 pkt za użycie w rozwiązaniu samych wskaźników (o ile jest poprawne).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11</dc:title>
  <dc:creator/>
  <dc:language>pl</dc:language>
  <cp:keywords/>
  <dcterms:created xsi:type="dcterms:W3CDTF">2021-04-12T06:44:49Z</dcterms:created>
  <dcterms:modified xsi:type="dcterms:W3CDTF">2021-04-12T06:44:49Z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