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00"/>
      </w:pPr>
    </w:p>
    <w:p>
      <w:pPr>
        <w:jc w:val="center"/>
      </w:pPr>
      <w:r>
        <w:rPr>
          <w:rFonts w:ascii="Aptos" w:hAnsi="Aptos" w:eastAsia="Aptos"/>
          <w:b/>
          <w:color w:val="A446BE"/>
          <w:sz w:val="22"/>
        </w:rPr>
        <w:t>FINAL COMPETITION ROADSHOW</w:t>
      </w:r>
    </w:p>
    <w:p>
      <w:pPr>
        <w:spacing w:before="280" w:after="240"/>
        <w:jc w:val="center"/>
      </w:pPr>
      <w:r>
        <w:rPr>
          <w:rFonts w:ascii="Aptos Display" w:hAnsi="Aptos Display" w:eastAsia="Aptos Display"/>
          <w:b/>
          <w:color w:val="1F2330"/>
          <w:sz w:val="64"/>
        </w:rPr>
        <w:t>NeuroEphys AI</w:t>
      </w:r>
    </w:p>
    <w:p>
      <w:pPr>
        <w:spacing w:after="320"/>
        <w:jc w:val="center"/>
      </w:pPr>
      <w:r>
        <w:rPr>
          <w:rFonts w:ascii="Microsoft YaHei" w:hAnsi="Microsoft YaHei" w:eastAsia="Microsoft YaHei"/>
          <w:b/>
          <w:color w:val="632D75"/>
          <w:sz w:val="36"/>
        </w:rPr>
        <w:t>决赛路演讲稿与现场演示指南</w:t>
      </w:r>
    </w:p>
    <w:p>
      <w:pPr>
        <w:jc w:val="center"/>
      </w:pPr>
      <w:r>
        <w:rPr>
          <w:rFonts w:ascii="Aptos" w:hAnsi="Aptos" w:eastAsia="Aptos"/>
          <w:b w:val="0"/>
          <w:color w:val="5F6576"/>
          <w:sz w:val="22"/>
        </w:rPr>
        <w:t>v1.4.0  ·  11 slides  ·  8:00 target  ·  Chinese narration</w:t>
      </w:r>
    </w:p>
    <w:p>
      <w:pPr>
        <w:spacing w:after="9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A446BE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叙事主线</w:t>
            </w:r>
          </w:p>
        </w:tc>
        <w:tc>
          <w:tcPr>
            <w:tcW w:type="dxa" w:w="7654"/>
            <w:shd w:fill="F6F0F8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330"/>
                <w:sz w:val="19"/>
              </w:rPr>
              <w:t>实际问题 → 完整工作流 → AI 发挥作用 → 可审核证据 → 交付与应用</w:t>
            </w:r>
          </w:p>
        </w:tc>
      </w:tr>
      <w:tr>
        <w:tc>
          <w:tcPr>
            <w:tcW w:type="dxa" w:w="1701"/>
            <w:shd w:fill="A446BE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数据边界</w:t>
            </w:r>
          </w:p>
        </w:tc>
        <w:tc>
          <w:tcPr>
            <w:tcW w:type="dxa" w:w="7654"/>
            <w:shd w:fill="FBF9FC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330"/>
                <w:sz w:val="19"/>
              </w:rPr>
              <w:t>路演定量结果来自本地不完美教学模拟，不宣称新的生物学结论</w:t>
            </w:r>
          </w:p>
        </w:tc>
      </w:tr>
      <w:tr>
        <w:tc>
          <w:tcPr>
            <w:tcW w:type="dxa" w:w="1701"/>
            <w:shd w:fill="A446BE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演示原则</w:t>
            </w:r>
          </w:p>
        </w:tc>
        <w:tc>
          <w:tcPr>
            <w:tcW w:type="dxa" w:w="7654"/>
            <w:shd w:fill="F6F0F8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330"/>
                <w:sz w:val="19"/>
              </w:rPr>
              <w:t>优先展示已保存项目；不在台上重跑长时 sorting；网络异常立即切换离线证据</w:t>
            </w:r>
          </w:p>
        </w:tc>
      </w:tr>
      <w:tr>
        <w:tc>
          <w:tcPr>
            <w:tcW w:type="dxa" w:w="1701"/>
            <w:shd w:fill="A446BE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讲述口径</w:t>
            </w:r>
          </w:p>
        </w:tc>
        <w:tc>
          <w:tcPr>
            <w:tcW w:type="dxa" w:w="7654"/>
            <w:shd w:fill="FBF9FC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330"/>
                <w:sz w:val="19"/>
              </w:rPr>
              <w:t>把已实现、已验证、推断和未来验证明确分开</w:t>
            </w:r>
          </w:p>
        </w:tc>
      </w:tr>
    </w:tbl>
    <w:p>
      <w:pPr>
        <w:spacing w:before="560"/>
        <w:jc w:val="center"/>
      </w:pPr>
      <w:r>
        <w:rPr>
          <w:rFonts w:ascii="Microsoft YaHei" w:hAnsi="Microsoft YaHei" w:eastAsia="Microsoft YaHei"/>
          <w:b w:val="0"/>
          <w:color w:val="5F6576"/>
          <w:sz w:val="19"/>
        </w:rPr>
        <w:t>建议排练：正式稿 1 次 · 7 分钟紧凑版 1 次 · 无网络备用版 1 次</w:t>
      </w:r>
    </w:p>
    <w:p>
      <w:r>
        <w:br w:type="page"/>
      </w:r>
    </w:p>
    <w:p>
      <w:pPr>
        <w:keepNext/>
        <w:spacing w:before="200" w:after="100"/>
        <w:pBdr>
          <w:bottom w:val="single" w:sz="10" w:space="4" w:color="A446BE"/>
        </w:pBdr>
      </w:pPr>
      <w:r>
        <w:rPr>
          <w:rFonts w:ascii="Microsoft YaHei" w:hAnsi="Microsoft YaHei" w:eastAsia="Microsoft YaHei"/>
          <w:b/>
          <w:color w:val="632D75"/>
          <w:sz w:val="30"/>
        </w:rPr>
        <w:t>时间与节奏总览</w:t>
      </w:r>
    </w:p>
    <w:p>
      <w:pPr>
        <w:spacing w:after="180"/>
      </w:pPr>
      <w:r>
        <w:rPr>
          <w:rFonts w:ascii="Microsoft YaHei" w:hAnsi="Microsoft YaHei" w:eastAsia="Microsoft YaHei"/>
          <w:b w:val="0"/>
          <w:color w:val="1F2330"/>
          <w:sz w:val="21"/>
        </w:rPr>
        <w:t>目标总时长 8:00。若现场展示占用时间，优先压缩第 2、7、10 页，不牺牲第 4、8、9 页的核心证据。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A446B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页码</w:t>
            </w:r>
          </w:p>
        </w:tc>
        <w:tc>
          <w:tcPr>
            <w:tcW w:type="dxa" w:w="2493"/>
            <w:shd w:fill="A446B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页面主题</w:t>
            </w:r>
          </w:p>
        </w:tc>
        <w:tc>
          <w:tcPr>
            <w:tcW w:type="dxa" w:w="2493"/>
            <w:shd w:fill="A446B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目标时长</w:t>
            </w:r>
          </w:p>
        </w:tc>
        <w:tc>
          <w:tcPr>
            <w:tcW w:type="dxa" w:w="2493"/>
            <w:shd w:fill="A446B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累计时间</w:t>
            </w:r>
          </w:p>
        </w:tc>
      </w:tr>
      <w:tr>
        <w:tc>
          <w:tcPr>
            <w:tcW w:type="dxa" w:w="2493"/>
            <w:shd w:fill="FB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1</w:t>
            </w:r>
          </w:p>
        </w:tc>
        <w:tc>
          <w:tcPr>
            <w:tcW w:type="dxa" w:w="2493"/>
            <w:shd w:fill="FB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开场</w:t>
            </w:r>
          </w:p>
        </w:tc>
        <w:tc>
          <w:tcPr>
            <w:tcW w:type="dxa" w:w="2493"/>
            <w:shd w:fill="FB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20 秒</w:t>
            </w:r>
          </w:p>
        </w:tc>
        <w:tc>
          <w:tcPr>
            <w:tcW w:type="dxa" w:w="2493"/>
            <w:shd w:fill="FB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0:20</w:t>
            </w:r>
          </w:p>
        </w:tc>
      </w:tr>
      <w:tr>
        <w:tc>
          <w:tcPr>
            <w:tcW w:type="dxa" w:w="2493"/>
            <w:shd w:fill="FFFF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2</w:t>
            </w:r>
          </w:p>
        </w:tc>
        <w:tc>
          <w:tcPr>
            <w:tcW w:type="dxa" w:w="2493"/>
            <w:shd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真实痛点</w:t>
            </w:r>
          </w:p>
        </w:tc>
        <w:tc>
          <w:tcPr>
            <w:tcW w:type="dxa" w:w="2493"/>
            <w:shd w:fill="FFFF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40 秒</w:t>
            </w:r>
          </w:p>
        </w:tc>
        <w:tc>
          <w:tcPr>
            <w:tcW w:type="dxa" w:w="2493"/>
            <w:shd w:fill="FFFF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1:00</w:t>
            </w:r>
          </w:p>
        </w:tc>
      </w:tr>
      <w:tr>
        <w:tc>
          <w:tcPr>
            <w:tcW w:type="dxa" w:w="2493"/>
            <w:shd w:fill="FB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3</w:t>
            </w:r>
          </w:p>
        </w:tc>
        <w:tc>
          <w:tcPr>
            <w:tcW w:type="dxa" w:w="2493"/>
            <w:shd w:fill="FB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十一步工作流</w:t>
            </w:r>
          </w:p>
        </w:tc>
        <w:tc>
          <w:tcPr>
            <w:tcW w:type="dxa" w:w="2493"/>
            <w:shd w:fill="FB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45 秒</w:t>
            </w:r>
          </w:p>
        </w:tc>
        <w:tc>
          <w:tcPr>
            <w:tcW w:type="dxa" w:w="2493"/>
            <w:shd w:fill="FB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1:45</w:t>
            </w:r>
          </w:p>
        </w:tc>
      </w:tr>
      <w:tr>
        <w:tc>
          <w:tcPr>
            <w:tcW w:type="dxa" w:w="2493"/>
            <w:shd w:fill="FFFF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4</w:t>
            </w:r>
          </w:p>
        </w:tc>
        <w:tc>
          <w:tcPr>
            <w:tcW w:type="dxa" w:w="2493"/>
            <w:shd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人工 Unit 复核</w:t>
            </w:r>
          </w:p>
        </w:tc>
        <w:tc>
          <w:tcPr>
            <w:tcW w:type="dxa" w:w="2493"/>
            <w:shd w:fill="FFFF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50 秒</w:t>
            </w:r>
          </w:p>
        </w:tc>
        <w:tc>
          <w:tcPr>
            <w:tcW w:type="dxa" w:w="2493"/>
            <w:shd w:fill="FFFF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2:35</w:t>
            </w:r>
          </w:p>
        </w:tc>
      </w:tr>
      <w:tr>
        <w:tc>
          <w:tcPr>
            <w:tcW w:type="dxa" w:w="2493"/>
            <w:shd w:fill="FB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5</w:t>
            </w:r>
          </w:p>
        </w:tc>
        <w:tc>
          <w:tcPr>
            <w:tcW w:type="dxa" w:w="2493"/>
            <w:shd w:fill="FB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事件对齐与神经响应</w:t>
            </w:r>
          </w:p>
        </w:tc>
        <w:tc>
          <w:tcPr>
            <w:tcW w:type="dxa" w:w="2493"/>
            <w:shd w:fill="FB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50 秒</w:t>
            </w:r>
          </w:p>
        </w:tc>
        <w:tc>
          <w:tcPr>
            <w:tcW w:type="dxa" w:w="2493"/>
            <w:shd w:fill="FB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3:25</w:t>
            </w:r>
          </w:p>
        </w:tc>
      </w:tr>
      <w:tr>
        <w:tc>
          <w:tcPr>
            <w:tcW w:type="dxa" w:w="2493"/>
            <w:shd w:fill="FFFF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6</w:t>
            </w:r>
          </w:p>
        </w:tc>
        <w:tc>
          <w:tcPr>
            <w:tcW w:type="dxa" w:w="2493"/>
            <w:shd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解码与不确定性</w:t>
            </w:r>
          </w:p>
        </w:tc>
        <w:tc>
          <w:tcPr>
            <w:tcW w:type="dxa" w:w="2493"/>
            <w:shd w:fill="FFFF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45 秒</w:t>
            </w:r>
          </w:p>
        </w:tc>
        <w:tc>
          <w:tcPr>
            <w:tcW w:type="dxa" w:w="2493"/>
            <w:shd w:fill="FFFF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4:10</w:t>
            </w:r>
          </w:p>
        </w:tc>
      </w:tr>
      <w:tr>
        <w:tc>
          <w:tcPr>
            <w:tcW w:type="dxa" w:w="2493"/>
            <w:shd w:fill="FB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7</w:t>
            </w:r>
          </w:p>
        </w:tc>
        <w:tc>
          <w:tcPr>
            <w:tcW w:type="dxa" w:w="2493"/>
            <w:shd w:fill="FB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多 Session 与多动物</w:t>
            </w:r>
          </w:p>
        </w:tc>
        <w:tc>
          <w:tcPr>
            <w:tcW w:type="dxa" w:w="2493"/>
            <w:shd w:fill="FB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45 秒</w:t>
            </w:r>
          </w:p>
        </w:tc>
        <w:tc>
          <w:tcPr>
            <w:tcW w:type="dxa" w:w="2493"/>
            <w:shd w:fill="FB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4:55</w:t>
            </w:r>
          </w:p>
        </w:tc>
      </w:tr>
      <w:tr>
        <w:tc>
          <w:tcPr>
            <w:tcW w:type="dxa" w:w="2493"/>
            <w:shd w:fill="FFFF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8</w:t>
            </w:r>
          </w:p>
        </w:tc>
        <w:tc>
          <w:tcPr>
            <w:tcW w:type="dxa" w:w="2493"/>
            <w:shd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项目级 AI 助手</w:t>
            </w:r>
          </w:p>
        </w:tc>
        <w:tc>
          <w:tcPr>
            <w:tcW w:type="dxa" w:w="2493"/>
            <w:shd w:fill="FFFF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50 秒</w:t>
            </w:r>
          </w:p>
        </w:tc>
        <w:tc>
          <w:tcPr>
            <w:tcW w:type="dxa" w:w="2493"/>
            <w:shd w:fill="FFFF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5:45</w:t>
            </w:r>
          </w:p>
        </w:tc>
      </w:tr>
      <w:tr>
        <w:tc>
          <w:tcPr>
            <w:tcW w:type="dxa" w:w="2493"/>
            <w:shd w:fill="FB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9</w:t>
            </w:r>
          </w:p>
        </w:tc>
        <w:tc>
          <w:tcPr>
            <w:tcW w:type="dxa" w:w="2493"/>
            <w:shd w:fill="FB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论文与复现</w:t>
            </w:r>
          </w:p>
        </w:tc>
        <w:tc>
          <w:tcPr>
            <w:tcW w:type="dxa" w:w="2493"/>
            <w:shd w:fill="FB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45 秒</w:t>
            </w:r>
          </w:p>
        </w:tc>
        <w:tc>
          <w:tcPr>
            <w:tcW w:type="dxa" w:w="2493"/>
            <w:shd w:fill="FB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6:30</w:t>
            </w:r>
          </w:p>
        </w:tc>
      </w:tr>
      <w:tr>
        <w:tc>
          <w:tcPr>
            <w:tcW w:type="dxa" w:w="2493"/>
            <w:shd w:fill="FFFF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10</w:t>
            </w:r>
          </w:p>
        </w:tc>
        <w:tc>
          <w:tcPr>
            <w:tcW w:type="dxa" w:w="2493"/>
            <w:shd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与成熟工具的互补</w:t>
            </w:r>
          </w:p>
        </w:tc>
        <w:tc>
          <w:tcPr>
            <w:tcW w:type="dxa" w:w="2493"/>
            <w:shd w:fill="FFFF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50 秒</w:t>
            </w:r>
          </w:p>
        </w:tc>
        <w:tc>
          <w:tcPr>
            <w:tcW w:type="dxa" w:w="2493"/>
            <w:shd w:fill="FFFF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7:20</w:t>
            </w:r>
          </w:p>
        </w:tc>
      </w:tr>
      <w:tr>
        <w:tc>
          <w:tcPr>
            <w:tcW w:type="dxa" w:w="2493"/>
            <w:shd w:fill="FB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11</w:t>
            </w:r>
          </w:p>
        </w:tc>
        <w:tc>
          <w:tcPr>
            <w:tcW w:type="dxa" w:w="2493"/>
            <w:shd w:fill="FB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交付与收尾</w:t>
            </w:r>
          </w:p>
        </w:tc>
        <w:tc>
          <w:tcPr>
            <w:tcW w:type="dxa" w:w="2493"/>
            <w:shd w:fill="FB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40 秒</w:t>
            </w:r>
          </w:p>
        </w:tc>
        <w:tc>
          <w:tcPr>
            <w:tcW w:type="dxa" w:w="2493"/>
            <w:shd w:fill="FB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330"/>
                <w:sz w:val="18"/>
              </w:rPr>
              <w:t>8:00</w:t>
            </w:r>
          </w:p>
        </w:tc>
      </w:tr>
    </w:tbl>
    <w:p>
      <w:r>
        <w:br w:type="page"/>
      </w:r>
    </w:p>
    <w:p>
      <w:pPr>
        <w:keepNext/>
        <w:spacing w:before="200" w:after="100"/>
        <w:pBdr>
          <w:bottom w:val="single" w:sz="10" w:space="4" w:color="A446BE"/>
        </w:pBdr>
      </w:pPr>
      <w:r>
        <w:rPr>
          <w:rFonts w:ascii="Microsoft YaHei" w:hAnsi="Microsoft YaHei" w:eastAsia="Microsoft YaHei"/>
          <w:b/>
          <w:color w:val="632D75"/>
          <w:sz w:val="30"/>
        </w:rPr>
        <w:t>第 1 页  |  开场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391"/>
      </w:tblGrid>
      <w:tr>
        <w:tc>
          <w:tcPr>
            <w:tcW w:type="dxa" w:w="11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A446B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83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F6F0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330"/>
                <w:sz w:val="19"/>
              </w:rPr>
              <w:t>20 秒</w:t>
            </w:r>
          </w:p>
        </w:tc>
      </w:tr>
    </w:tbl>
    <w:p>
      <w:pPr>
        <w:spacing w:before="140" w:after="120" w:line="317" w:lineRule="auto"/>
      </w:pPr>
      <w:r>
        <w:rPr>
          <w:rFonts w:ascii="Microsoft YaHei" w:hAnsi="Microsoft YaHei" w:eastAsia="Microsoft YaHei"/>
          <w:b w:val="0"/>
          <w:color w:val="1F2330"/>
          <w:sz w:val="21"/>
        </w:rPr>
        <w:t>各位老师好，我们的作品是 NeuroEphys AI。它不是只做某一张图的分析工具，而是把从原始电压、spike sorting、Unit 人工复核、行为同步、统计解码，到论文组合图的整条证据链放在一个项目里，并让 AI 在可见上下文和用户确认下参与。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391"/>
      </w:tblGrid>
      <w:tr>
        <w:tc>
          <w:tcPr>
            <w:tcW w:type="dxa" w:w="11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A446B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转场</w:t>
            </w:r>
          </w:p>
        </w:tc>
        <w:tc>
          <w:tcPr>
            <w:tcW w:type="dxa" w:w="83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F6F0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330"/>
                <w:sz w:val="19"/>
              </w:rPr>
              <w:t>我们先看看，为什么这条证据链值得被重新设计。</w:t>
            </w:r>
          </w:p>
        </w:tc>
      </w:tr>
    </w:tbl>
    <w:p>
      <w:r>
        <w:br w:type="page"/>
      </w:r>
    </w:p>
    <w:p>
      <w:pPr>
        <w:keepNext/>
        <w:spacing w:before="200" w:after="100"/>
        <w:pBdr>
          <w:bottom w:val="single" w:sz="10" w:space="4" w:color="A446BE"/>
        </w:pBdr>
      </w:pPr>
      <w:r>
        <w:rPr>
          <w:rFonts w:ascii="Microsoft YaHei" w:hAnsi="Microsoft YaHei" w:eastAsia="Microsoft YaHei"/>
          <w:b/>
          <w:color w:val="632D75"/>
          <w:sz w:val="30"/>
        </w:rPr>
        <w:t>第 2 页  |  真实痛点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391"/>
      </w:tblGrid>
      <w:tr>
        <w:tc>
          <w:tcPr>
            <w:tcW w:type="dxa" w:w="11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A446B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83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F6F0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330"/>
                <w:sz w:val="19"/>
              </w:rPr>
              <w:t>40 秒</w:t>
            </w:r>
          </w:p>
        </w:tc>
      </w:tr>
    </w:tbl>
    <w:p>
      <w:pPr>
        <w:spacing w:before="140" w:after="120" w:line="317" w:lineRule="auto"/>
      </w:pPr>
      <w:r>
        <w:rPr>
          <w:rFonts w:ascii="Microsoft YaHei" w:hAnsi="Microsoft YaHei" w:eastAsia="Microsoft YaHei"/>
          <w:b w:val="0"/>
          <w:color w:val="1F2330"/>
          <w:sz w:val="21"/>
        </w:rPr>
        <w:t>传统电生理分析最大的成本，往往不在某一个算法，而在工具之间的搬运。原始记录、sorting、人工复核、行为时间戳、统计和论文图常常分散在不同软件和临时脚本中。每次导入导出都可能丢失参数、单位、排除理由或样本层级。最后很难回答一个最基本的问题：论文中的这个结论，究竟来自哪份原始数据、哪些 Unit，以及哪一次人工决定？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391"/>
      </w:tblGrid>
      <w:tr>
        <w:tc>
          <w:tcPr>
            <w:tcW w:type="dxa" w:w="11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A446B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转场</w:t>
            </w:r>
          </w:p>
        </w:tc>
        <w:tc>
          <w:tcPr>
            <w:tcW w:type="dxa" w:w="83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F6F0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330"/>
                <w:sz w:val="19"/>
              </w:rPr>
              <w:t>NeuroEphys AI 的答案是，让数据、决定和图都在同一个项目中闭环。</w:t>
            </w:r>
          </w:p>
        </w:tc>
      </w:tr>
    </w:tbl>
    <w:p>
      <w:r>
        <w:br w:type="page"/>
      </w:r>
    </w:p>
    <w:p>
      <w:pPr>
        <w:keepNext/>
        <w:spacing w:before="200" w:after="100"/>
        <w:pBdr>
          <w:bottom w:val="single" w:sz="10" w:space="4" w:color="A446BE"/>
        </w:pBdr>
      </w:pPr>
      <w:r>
        <w:rPr>
          <w:rFonts w:ascii="Microsoft YaHei" w:hAnsi="Microsoft YaHei" w:eastAsia="Microsoft YaHei"/>
          <w:b/>
          <w:color w:val="632D75"/>
          <w:sz w:val="30"/>
        </w:rPr>
        <w:t>第 3 页  |  十一步工作流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391"/>
      </w:tblGrid>
      <w:tr>
        <w:tc>
          <w:tcPr>
            <w:tcW w:type="dxa" w:w="11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A446B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83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F6F0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330"/>
                <w:sz w:val="19"/>
              </w:rPr>
              <w:t>45 秒</w:t>
            </w:r>
          </w:p>
        </w:tc>
      </w:tr>
    </w:tbl>
    <w:p>
      <w:pPr>
        <w:spacing w:before="140" w:after="120" w:line="317" w:lineRule="auto"/>
      </w:pPr>
      <w:r>
        <w:rPr>
          <w:rFonts w:ascii="Microsoft YaHei" w:hAnsi="Microsoft YaHei" w:eastAsia="Microsoft YaHei"/>
          <w:b w:val="0"/>
          <w:color w:val="1F2330"/>
          <w:sz w:val="21"/>
        </w:rPr>
        <w:t>这是产品的主界面。左侧的 11 步不是一条强制的线性流程，而是一条可随时回看的证据链。原始数据保持只读；参数、中间结果、人工标签和作图数据都保存在项目里。右侧 AI 助手读取的是这个可审核的项目状态，不是猜测用户正在看什么。因此任何结果都能追回来源，任何上游修改也会标记哪些下游结果已过期。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391"/>
      </w:tblGrid>
      <w:tr>
        <w:tc>
          <w:tcPr>
            <w:tcW w:type="dxa" w:w="11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A446B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演示</w:t>
            </w:r>
          </w:p>
        </w:tc>
        <w:tc>
          <w:tcPr>
            <w:tcW w:type="dxa" w:w="83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F6F0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330"/>
                <w:sz w:val="19"/>
              </w:rPr>
              <w:t>指出左侧 11 步、中间图表区和右侧 AI 上下文。</w:t>
            </w:r>
          </w:p>
        </w:tc>
      </w:tr>
    </w:tbl>
    <w:p>
      <w:r>
        <w:br w:type="page"/>
      </w:r>
    </w:p>
    <w:p>
      <w:pPr>
        <w:keepNext/>
        <w:spacing w:before="200" w:after="100"/>
        <w:pBdr>
          <w:bottom w:val="single" w:sz="10" w:space="4" w:color="A446BE"/>
        </w:pBdr>
      </w:pPr>
      <w:r>
        <w:rPr>
          <w:rFonts w:ascii="Microsoft YaHei" w:hAnsi="Microsoft YaHei" w:eastAsia="Microsoft YaHei"/>
          <w:b/>
          <w:color w:val="632D75"/>
          <w:sz w:val="30"/>
        </w:rPr>
        <w:t>第 4 页  |  人工 Unit 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391"/>
      </w:tblGrid>
      <w:tr>
        <w:tc>
          <w:tcPr>
            <w:tcW w:type="dxa" w:w="11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A446B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83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F6F0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330"/>
                <w:sz w:val="19"/>
              </w:rPr>
              <w:t>50 秒</w:t>
            </w:r>
          </w:p>
        </w:tc>
      </w:tr>
    </w:tbl>
    <w:p>
      <w:pPr>
        <w:spacing w:before="140" w:after="120" w:line="317" w:lineRule="auto"/>
      </w:pPr>
      <w:r>
        <w:rPr>
          <w:rFonts w:ascii="Microsoft YaHei" w:hAnsi="Microsoft YaHei" w:eastAsia="Microsoft YaHei"/>
          <w:b w:val="0"/>
          <w:color w:val="1F2330"/>
          <w:sz w:val="21"/>
        </w:rPr>
        <w:t>这一步是产品的核心。自动指标只是筛选证据，不能自动宣称“真实神经元”。界面会显示所有可读取的 spike 波形，而不是仅抽样几百条；同时可以切换 PC1、PC2 和 PC3 视角，查看同一 contact 上的候选 cluster。研究者可以套索排除离群 spike，也可以把一群 spike 拆成新 Unit，而且每次修改都可撤销。图表使用连续的 Unit 1 到 N，sorter 原始 cluster ID 则保存在 provenance 中。复核后的候选单神经元会真正成为下游分析样本，不是一个仅供查看的标签。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391"/>
      </w:tblGrid>
      <w:tr>
        <w:tc>
          <w:tcPr>
            <w:tcW w:type="dxa" w:w="11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A446B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演示</w:t>
            </w:r>
          </w:p>
        </w:tc>
        <w:tc>
          <w:tcPr>
            <w:tcW w:type="dxa" w:w="83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F6F0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330"/>
                <w:sz w:val="19"/>
              </w:rPr>
              <w:t>点出全部 spike、PCA 切换、套索编辑、撤销和“应用到下游”。</w:t>
            </w:r>
          </w:p>
        </w:tc>
      </w:tr>
    </w:tbl>
    <w:p>
      <w:r>
        <w:br w:type="page"/>
      </w:r>
    </w:p>
    <w:p>
      <w:pPr>
        <w:keepNext/>
        <w:spacing w:before="200" w:after="100"/>
        <w:pBdr>
          <w:bottom w:val="single" w:sz="10" w:space="4" w:color="A446BE"/>
        </w:pBdr>
      </w:pPr>
      <w:r>
        <w:rPr>
          <w:rFonts w:ascii="Microsoft YaHei" w:hAnsi="Microsoft YaHei" w:eastAsia="Microsoft YaHei"/>
          <w:b/>
          <w:color w:val="632D75"/>
          <w:sz w:val="30"/>
        </w:rPr>
        <w:t>第 5 页  |  事件对齐与神经响应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391"/>
      </w:tblGrid>
      <w:tr>
        <w:tc>
          <w:tcPr>
            <w:tcW w:type="dxa" w:w="11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A446B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83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F6F0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330"/>
                <w:sz w:val="19"/>
              </w:rPr>
              <w:t>50 秒</w:t>
            </w:r>
          </w:p>
        </w:tc>
      </w:tr>
    </w:tbl>
    <w:p>
      <w:pPr>
        <w:spacing w:before="140" w:after="120" w:line="317" w:lineRule="auto"/>
      </w:pPr>
      <w:r>
        <w:rPr>
          <w:rFonts w:ascii="Microsoft YaHei" w:hAnsi="Microsoft YaHei" w:eastAsia="Microsoft YaHei"/>
          <w:b w:val="0"/>
          <w:color w:val="1F2330"/>
          <w:sz w:val="21"/>
        </w:rPr>
        <w:t>在行为与神经活动部分，用户可以从已导入事件中选择任意行为，而不是被固定在两个预设条件。左侧的 raster 按行为拆分 trial，用经典短杠显示 spike；中间从单 Unit 上升到群体排序热图；右侧给出效应量、不确定性、置换检验和 FDR 结果。三类图共享同一个事件选择和同一个已复核 Unit 集合，因此单元故事、群体故事和统计证据不会互相脱节。这里的示例是 32 通道、18 个 Unit、11162 个 spike 和 48 个事件。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391"/>
      </w:tblGrid>
      <w:tr>
        <w:tc>
          <w:tcPr>
            <w:tcW w:type="dxa" w:w="11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A446B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转场</w:t>
            </w:r>
          </w:p>
        </w:tc>
        <w:tc>
          <w:tcPr>
            <w:tcW w:type="dxa" w:w="83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F6F0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330"/>
                <w:sz w:val="19"/>
              </w:rPr>
              <w:t>如果要进一步问“群体活动能不能预测行为”，就进入解码。</w:t>
            </w:r>
          </w:p>
        </w:tc>
      </w:tr>
    </w:tbl>
    <w:p>
      <w:r>
        <w:br w:type="page"/>
      </w:r>
    </w:p>
    <w:p>
      <w:pPr>
        <w:keepNext/>
        <w:spacing w:before="200" w:after="100"/>
        <w:pBdr>
          <w:bottom w:val="single" w:sz="10" w:space="4" w:color="A446BE"/>
        </w:pBdr>
      </w:pPr>
      <w:r>
        <w:rPr>
          <w:rFonts w:ascii="Microsoft YaHei" w:hAnsi="Microsoft YaHei" w:eastAsia="Microsoft YaHei"/>
          <w:b/>
          <w:color w:val="632D75"/>
          <w:sz w:val="30"/>
        </w:rPr>
        <w:t>第 6 页  |  解码与不确定性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391"/>
      </w:tblGrid>
      <w:tr>
        <w:tc>
          <w:tcPr>
            <w:tcW w:type="dxa" w:w="11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A446B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83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F6F0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330"/>
                <w:sz w:val="19"/>
              </w:rPr>
              <w:t>45 秒</w:t>
            </w:r>
          </w:p>
        </w:tc>
      </w:tr>
    </w:tbl>
    <w:p>
      <w:pPr>
        <w:spacing w:before="140" w:after="120" w:line="317" w:lineRule="auto"/>
      </w:pPr>
      <w:r>
        <w:rPr>
          <w:rFonts w:ascii="Microsoft YaHei" w:hAnsi="Microsoft YaHei" w:eastAsia="Microsoft YaHei"/>
          <w:b w:val="0"/>
          <w:color w:val="1F2330"/>
          <w:sz w:val="21"/>
        </w:rPr>
        <w:t>我们不会用一条看上去很漂亮的 ROC 曲线代替完整证据。这一页同时报告交叉验证混淆矩阵、balanced accuracy、F1、ROC AUC、置换分布和随时间变化的解码。当前教学数据的 AUC 是 0.764，balanced accuracy 是 0.729，置换检验 p 值约为 0.039。数据故意保留了漏检、误检和时间抖动，所以我们展示的是可解释的不完美结果，而不是一个误导性的完美 ROC。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391"/>
      </w:tblGrid>
      <w:tr>
        <w:tc>
          <w:tcPr>
            <w:tcW w:type="dxa" w:w="11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A446B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强调</w:t>
            </w:r>
          </w:p>
        </w:tc>
        <w:tc>
          <w:tcPr>
            <w:tcW w:type="dxa" w:w="83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F6F0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330"/>
                <w:sz w:val="19"/>
              </w:rPr>
              <w:t>模拟结果证明流程能够跑通并正确表达不确定性，不是生物学发现。</w:t>
            </w:r>
          </w:p>
        </w:tc>
      </w:tr>
    </w:tbl>
    <w:p>
      <w:r>
        <w:br w:type="page"/>
      </w:r>
    </w:p>
    <w:p>
      <w:pPr>
        <w:keepNext/>
        <w:spacing w:before="200" w:after="100"/>
        <w:pBdr>
          <w:bottom w:val="single" w:sz="10" w:space="4" w:color="A446BE"/>
        </w:pBdr>
      </w:pPr>
      <w:r>
        <w:rPr>
          <w:rFonts w:ascii="Microsoft YaHei" w:hAnsi="Microsoft YaHei" w:eastAsia="Microsoft YaHei"/>
          <w:b/>
          <w:color w:val="632D75"/>
          <w:sz w:val="30"/>
        </w:rPr>
        <w:t>第 7 页  |  多 Session 与多动物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391"/>
      </w:tblGrid>
      <w:tr>
        <w:tc>
          <w:tcPr>
            <w:tcW w:type="dxa" w:w="11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A446B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83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F6F0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330"/>
                <w:sz w:val="19"/>
              </w:rPr>
              <w:t>45 秒</w:t>
            </w:r>
          </w:p>
        </w:tc>
      </w:tr>
    </w:tbl>
    <w:p>
      <w:pPr>
        <w:spacing w:before="140" w:after="120" w:line="317" w:lineRule="auto"/>
      </w:pPr>
      <w:r>
        <w:rPr>
          <w:rFonts w:ascii="Microsoft YaHei" w:hAnsi="Microsoft YaHei" w:eastAsia="Microsoft YaHei"/>
          <w:b w:val="0"/>
          <w:color w:val="1F2330"/>
          <w:sz w:val="21"/>
        </w:rPr>
        <w:t>单 Session 的结果不能直接把每个 trial 当成独立动物。NeuroEphys AI 在建模之前先明确项目、Session、动物和结果四个层级。每个 Session 保留自己的原始来源、参数和人工复核；Study 层再按动物汇总。解码可选择 GroupKFold 或 leave-one-animal-out，统计结果同时报告总体效应、动物间差异和 Session 稳定性。这样才能避免伪重复，也使 SVM、LDA 和 Logistic regression 等模型结果具有可解释的留出层级。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391"/>
      </w:tblGrid>
      <w:tr>
        <w:tc>
          <w:tcPr>
            <w:tcW w:type="dxa" w:w="11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A446B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转场</w:t>
            </w:r>
          </w:p>
        </w:tc>
        <w:tc>
          <w:tcPr>
            <w:tcW w:type="dxa" w:w="83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F6F0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330"/>
                <w:sz w:val="19"/>
              </w:rPr>
              <w:t>当项目和样本层级已经清楚，AI 才能成为真正有用的研究助手。</w:t>
            </w:r>
          </w:p>
        </w:tc>
      </w:tr>
    </w:tbl>
    <w:p>
      <w:r>
        <w:br w:type="page"/>
      </w:r>
    </w:p>
    <w:p>
      <w:pPr>
        <w:keepNext/>
        <w:spacing w:before="200" w:after="100"/>
        <w:pBdr>
          <w:bottom w:val="single" w:sz="10" w:space="4" w:color="A446BE"/>
        </w:pBdr>
      </w:pPr>
      <w:r>
        <w:rPr>
          <w:rFonts w:ascii="Microsoft YaHei" w:hAnsi="Microsoft YaHei" w:eastAsia="Microsoft YaHei"/>
          <w:b/>
          <w:color w:val="632D75"/>
          <w:sz w:val="30"/>
        </w:rPr>
        <w:t>第 8 页  |  项目级 AI 助手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391"/>
      </w:tblGrid>
      <w:tr>
        <w:tc>
          <w:tcPr>
            <w:tcW w:type="dxa" w:w="11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A446B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83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F6F0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330"/>
                <w:sz w:val="19"/>
              </w:rPr>
              <w:t>50 秒</w:t>
            </w:r>
          </w:p>
        </w:tc>
      </w:tr>
    </w:tbl>
    <w:p>
      <w:pPr>
        <w:spacing w:before="140" w:after="120" w:line="317" w:lineRule="auto"/>
      </w:pPr>
      <w:r>
        <w:rPr>
          <w:rFonts w:ascii="Microsoft YaHei" w:hAnsi="Microsoft YaHei" w:eastAsia="Microsoft YaHei"/>
          <w:b w:val="0"/>
          <w:color w:val="1F2330"/>
          <w:sz w:val="21"/>
        </w:rPr>
        <w:t>这个 AI 不只是一个通用聊天窗口。它可以通过 DeepSeek Harness SDK、OpenAI Responses 或兼容接口连接用户配置的模型。它可以看到当前步骤、参数、结果、日志和经用户预览的图像，并按需查询事件、trial、spike、Unit 指标以及作图数据。因此它能回答“这张图在说什么”，也能诊断“为什么这一步失败”。同时它受到约束：发送内容先预览，密钥不写入项目，本地分析动作需要用户确认。截图中，AI 没有直接解释事件图，而是先提醒完成 Unit QC，这就是它对项目证据的理解。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391"/>
      </w:tblGrid>
      <w:tr>
        <w:tc>
          <w:tcPr>
            <w:tcW w:type="dxa" w:w="11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A446B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演示</w:t>
            </w:r>
          </w:p>
        </w:tc>
        <w:tc>
          <w:tcPr>
            <w:tcW w:type="dxa" w:w="83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F6F0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330"/>
                <w:sz w:val="19"/>
              </w:rPr>
              <w:t>询问“我现在能否直接解读事件图？”，展示它先核对 Unit QC 的回答。</w:t>
            </w:r>
          </w:p>
        </w:tc>
      </w:tr>
    </w:tbl>
    <w:p>
      <w:r>
        <w:br w:type="page"/>
      </w:r>
    </w:p>
    <w:p>
      <w:pPr>
        <w:keepNext/>
        <w:spacing w:before="200" w:after="100"/>
        <w:pBdr>
          <w:bottom w:val="single" w:sz="10" w:space="4" w:color="A446BE"/>
        </w:pBdr>
      </w:pPr>
      <w:r>
        <w:rPr>
          <w:rFonts w:ascii="Microsoft YaHei" w:hAnsi="Microsoft YaHei" w:eastAsia="Microsoft YaHei"/>
          <w:b/>
          <w:color w:val="632D75"/>
          <w:sz w:val="30"/>
        </w:rPr>
        <w:t>第 9 页  |  论文与复现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391"/>
      </w:tblGrid>
      <w:tr>
        <w:tc>
          <w:tcPr>
            <w:tcW w:type="dxa" w:w="11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A446B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83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F6F0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330"/>
                <w:sz w:val="19"/>
              </w:rPr>
              <w:t>45 秒</w:t>
            </w:r>
          </w:p>
        </w:tc>
      </w:tr>
    </w:tbl>
    <w:p>
      <w:pPr>
        <w:spacing w:before="140" w:after="120" w:line="317" w:lineRule="auto"/>
      </w:pPr>
      <w:r>
        <w:rPr>
          <w:rFonts w:ascii="Microsoft YaHei" w:hAnsi="Microsoft YaHei" w:eastAsia="Microsoft YaHei"/>
          <w:b w:val="0"/>
          <w:color w:val="1F2330"/>
          <w:sz w:val="21"/>
        </w:rPr>
        <w:t>分析的终点不是“导出了一堆图”，而是形成可审核的证据故事。第 11 步在 App 内以连续上下滚动的方式展示主图和 Extended Data，而不是打开一个模糊网页。主线按实验与数据质量、行为与事件、单元与群体响应、统计与解码排列。不进入主线的阴性结果和诊断图不会被删除，而是放进附图。用户可以重排面板、调整主附图归属、修改图注，并导出 SVG、PDF 和 PNG。每个 panel 都关联作图数据、参数和原始来源。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391"/>
      </w:tblGrid>
      <w:tr>
        <w:tc>
          <w:tcPr>
            <w:tcW w:type="dxa" w:w="11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A446B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演示</w:t>
            </w:r>
          </w:p>
        </w:tc>
        <w:tc>
          <w:tcPr>
            <w:tcW w:type="dxa" w:w="83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F6F0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330"/>
                <w:sz w:val="19"/>
              </w:rPr>
              <w:t>展示主图和 Extended Data 分区，然后点出作图数据与 provenance。</w:t>
            </w:r>
          </w:p>
        </w:tc>
      </w:tr>
    </w:tbl>
    <w:p>
      <w:r>
        <w:br w:type="page"/>
      </w:r>
    </w:p>
    <w:p>
      <w:pPr>
        <w:keepNext/>
        <w:spacing w:before="200" w:after="100"/>
        <w:pBdr>
          <w:bottom w:val="single" w:sz="10" w:space="4" w:color="A446BE"/>
        </w:pBdr>
      </w:pPr>
      <w:r>
        <w:rPr>
          <w:rFonts w:ascii="Microsoft YaHei" w:hAnsi="Microsoft YaHei" w:eastAsia="Microsoft YaHei"/>
          <w:b/>
          <w:color w:val="632D75"/>
          <w:sz w:val="30"/>
        </w:rPr>
        <w:t>第 10 页  |  与成熟工具的互补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391"/>
      </w:tblGrid>
      <w:tr>
        <w:tc>
          <w:tcPr>
            <w:tcW w:type="dxa" w:w="11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A446B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83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F6F0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330"/>
                <w:sz w:val="19"/>
              </w:rPr>
              <w:t>50 秒</w:t>
            </w:r>
          </w:p>
        </w:tc>
      </w:tr>
    </w:tbl>
    <w:p>
      <w:pPr>
        <w:spacing w:before="140" w:after="120" w:line="317" w:lineRule="auto"/>
      </w:pPr>
      <w:r>
        <w:rPr>
          <w:rFonts w:ascii="Microsoft YaHei" w:hAnsi="Microsoft YaHei" w:eastAsia="Microsoft YaHei"/>
          <w:b w:val="0"/>
          <w:color w:val="1F2330"/>
          <w:sz w:val="21"/>
        </w:rPr>
        <w:t>NeuroExplorer 是成熟的神经数据分析软件，支持 50 多种文件格式、45 种以上分析、可编辑图形和 Python 脚本，这些是它的成熟优势。我们不会宣称取代所有成熟软件。NeuroEphys AI 要补上的是从原始数据到论文证据的工作流层：多 sorter 和 SpikeInterface 集成、全部 spike 的人工复核、复核集合真正影响下游、多 Session 留出、主图与附图故事板，以及能读项目证据的 AI。它是开源的，并提供 Windows Standard 和 Full 安装方案。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391"/>
      </w:tblGrid>
      <w:tr>
        <w:tc>
          <w:tcPr>
            <w:tcW w:type="dxa" w:w="11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A446B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强调</w:t>
            </w:r>
          </w:p>
        </w:tc>
        <w:tc>
          <w:tcPr>
            <w:tcW w:type="dxa" w:w="83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F6F0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330"/>
                <w:sz w:val="19"/>
              </w:rPr>
              <w:t>我们的差异化不是简单增加更多按钮，而是把实验决定、AI 建议和论文证据连成一个可追溯的系统。</w:t>
            </w:r>
          </w:p>
        </w:tc>
      </w:tr>
    </w:tbl>
    <w:p>
      <w:r>
        <w:br w:type="page"/>
      </w:r>
    </w:p>
    <w:p>
      <w:pPr>
        <w:keepNext/>
        <w:spacing w:before="200" w:after="100"/>
        <w:pBdr>
          <w:bottom w:val="single" w:sz="10" w:space="4" w:color="A446BE"/>
        </w:pBdr>
      </w:pPr>
      <w:r>
        <w:rPr>
          <w:rFonts w:ascii="Microsoft YaHei" w:hAnsi="Microsoft YaHei" w:eastAsia="Microsoft YaHei"/>
          <w:b/>
          <w:color w:val="632D75"/>
          <w:sz w:val="30"/>
        </w:rPr>
        <w:t>第 11 页  |  交付与收尾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391"/>
      </w:tblGrid>
      <w:tr>
        <w:tc>
          <w:tcPr>
            <w:tcW w:type="dxa" w:w="11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A446B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8391"/>
            <w:vAlign w:val="center"/>
            <w:tcBorders>
              <w:top w:val="single" w:sz="5" w:color="DDD7E2"/>
              <w:left w:val="single" w:sz="5" w:color="DDD7E2"/>
              <w:bottom w:val="single" w:sz="5" w:color="DDD7E2"/>
              <w:right w:val="single" w:sz="5" w:color="DDD7E2"/>
            </w:tcBorders>
            <w:shd w:fill="F6F0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330"/>
                <w:sz w:val="19"/>
              </w:rPr>
              <w:t>40 秒</w:t>
            </w:r>
          </w:p>
        </w:tc>
      </w:tr>
    </w:tbl>
    <w:p>
      <w:pPr>
        <w:spacing w:before="140" w:after="120" w:line="317" w:lineRule="auto"/>
      </w:pPr>
      <w:r>
        <w:rPr>
          <w:rFonts w:ascii="Microsoft YaHei" w:hAnsi="Microsoft YaHei" w:eastAsia="Microsoft YaHei"/>
          <w:b w:val="0"/>
          <w:color w:val="1F2330"/>
          <w:sz w:val="21"/>
        </w:rPr>
        <w:t>目前 v1.4.0 已经完成 206 项自动化测试，三套 60 秒教学项目已跑通完整流程，手册审计检查了 9087 个本地链接且无错误。我们提供标准安装版、可选择 GPU、CUDA 和 Kilosort 组件的 Full 安装版，以及便携版。现场演示可沿着一个项目完成“导入示例项目、人工 Unit 复核、行为选择、AI 解读当前图、论文组合图”。我们的核心价值是减少跨工具搬运，让分析决定、结果和论文证据始终保持一致。谢谢各位老师。</w:t>
      </w:r>
    </w:p>
    <w:p>
      <w:r>
        <w:br w:type="page"/>
      </w:r>
    </w:p>
    <w:p>
      <w:pPr>
        <w:keepNext/>
        <w:spacing w:before="200" w:after="100"/>
        <w:pBdr>
          <w:bottom w:val="single" w:sz="10" w:space="4" w:color="A446BE"/>
        </w:pBdr>
      </w:pPr>
      <w:r>
        <w:rPr>
          <w:rFonts w:ascii="Microsoft YaHei" w:hAnsi="Microsoft YaHei" w:eastAsia="Microsoft YaHei"/>
          <w:b/>
          <w:color w:val="632D75"/>
          <w:sz w:val="30"/>
        </w:rPr>
        <w:t>现场演示备用路线</w:t>
      </w:r>
    </w:p>
    <w:p>
      <w:pPr>
        <w:spacing w:before="0" w:after="160" w:line="307" w:lineRule="auto"/>
      </w:pPr>
      <w:r>
        <w:rPr>
          <w:rFonts w:ascii="Microsoft YaHei" w:hAnsi="Microsoft YaHei" w:eastAsia="Microsoft YaHei"/>
          <w:b w:val="0"/>
          <w:color w:val="1F2330"/>
          <w:sz w:val="21"/>
        </w:rPr>
        <w:t>原则：稳定、可追溯、不在台上排查长任务或网络环境。</w:t>
      </w:r>
    </w:p>
    <w:p>
      <w:pPr>
        <w:spacing w:after="120"/>
        <w:ind w:left="142" w:hanging="142"/>
      </w:pPr>
      <w:r>
        <w:rPr>
          <w:rFonts w:ascii="Aptos" w:hAnsi="Aptos" w:eastAsia="Aptos"/>
          <w:b/>
          <w:color w:val="632D75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1F2330"/>
          <w:sz w:val="21"/>
        </w:rPr>
        <w:t>打开 Neuropixels like 本地教学项目，不现场重跑长时 sorting。</w:t>
      </w:r>
    </w:p>
    <w:p>
      <w:pPr>
        <w:spacing w:after="120"/>
        <w:ind w:left="142" w:hanging="142"/>
      </w:pPr>
      <w:r>
        <w:rPr>
          <w:rFonts w:ascii="Aptos" w:hAnsi="Aptos" w:eastAsia="Aptos"/>
          <w:b/>
          <w:color w:val="632D75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1F2330"/>
          <w:sz w:val="21"/>
        </w:rPr>
        <w:t>进入 Unit 复核，切换 PCA 视角，套索一组点，仅演示到撤销，不改变正式结果。</w:t>
      </w:r>
    </w:p>
    <w:p>
      <w:pPr>
        <w:spacing w:after="120"/>
        <w:ind w:left="142" w:hanging="142"/>
      </w:pPr>
      <w:r>
        <w:rPr>
          <w:rFonts w:ascii="Aptos" w:hAnsi="Aptos" w:eastAsia="Aptos"/>
          <w:b/>
          <w:color w:val="632D75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1F2330"/>
          <w:sz w:val="21"/>
        </w:rPr>
        <w:t>打开行为事件选择，切换两种行为，展示 raster、PSTH 和群体热图同步更新。</w:t>
      </w:r>
    </w:p>
    <w:p>
      <w:pPr>
        <w:spacing w:after="120"/>
        <w:ind w:left="142" w:hanging="142"/>
      </w:pPr>
      <w:r>
        <w:rPr>
          <w:rFonts w:ascii="Aptos" w:hAnsi="Aptos" w:eastAsia="Aptos"/>
          <w:b/>
          <w:color w:val="632D75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1F2330"/>
          <w:sz w:val="21"/>
        </w:rPr>
        <w:t>让 AI 解读当前图，展示发送预览和项目级回答。</w:t>
      </w:r>
    </w:p>
    <w:p>
      <w:pPr>
        <w:spacing w:after="120"/>
        <w:ind w:left="142" w:hanging="142"/>
      </w:pPr>
      <w:r>
        <w:rPr>
          <w:rFonts w:ascii="Aptos" w:hAnsi="Aptos" w:eastAsia="Aptos"/>
          <w:b/>
          <w:color w:val="632D75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1F2330"/>
          <w:sz w:val="21"/>
        </w:rPr>
        <w:t>打开论文画廊，滚动主图与 Extended Data，展示 SVG、PDF、PNG 和作图数据出口。</w:t>
      </w:r>
    </w:p>
    <w:p>
      <w:pPr>
        <w:spacing w:after="120"/>
        <w:ind w:left="142" w:hanging="142"/>
      </w:pPr>
      <w:r>
        <w:rPr>
          <w:rFonts w:ascii="Aptos" w:hAnsi="Aptos" w:eastAsia="Aptos"/>
          <w:b/>
          <w:color w:val="632D75"/>
          <w:sz w:val="21"/>
        </w:rPr>
        <w:t xml:space="preserve">6. </w:t>
      </w:r>
      <w:r>
        <w:rPr>
          <w:rFonts w:ascii="Microsoft YaHei" w:hAnsi="Microsoft YaHei" w:eastAsia="Microsoft YaHei"/>
          <w:b w:val="0"/>
          <w:color w:val="1F2330"/>
          <w:sz w:val="21"/>
        </w:rPr>
        <w:t>如现场 GPU、网络或模型服务异常，立即使用已保存的项目、截图和 PPT，不在台上排查环境。</w:t>
      </w:r>
    </w:p>
    <w:p>
      <w:r>
        <w:br w:type="page"/>
      </w:r>
    </w:p>
    <w:p>
      <w:pPr>
        <w:keepNext/>
        <w:spacing w:before="200" w:after="100"/>
        <w:pBdr>
          <w:bottom w:val="single" w:sz="10" w:space="4" w:color="A446BE"/>
        </w:pBdr>
      </w:pPr>
      <w:r>
        <w:rPr>
          <w:rFonts w:ascii="Microsoft YaHei" w:hAnsi="Microsoft YaHei" w:eastAsia="Microsoft YaHei"/>
          <w:b/>
          <w:color w:val="632D75"/>
          <w:sz w:val="30"/>
        </w:rPr>
        <w:t>常见评委问题与建议回答</w:t>
      </w:r>
    </w:p>
    <w:p>
      <w:pPr>
        <w:spacing w:before="0" w:after="180" w:line="307" w:lineRule="auto"/>
      </w:pPr>
      <w:r>
        <w:rPr>
          <w:rFonts w:ascii="Microsoft YaHei" w:hAnsi="Microsoft YaHei" w:eastAsia="Microsoft YaHei"/>
          <w:b w:val="0"/>
          <w:color w:val="1F2330"/>
          <w:sz w:val="21"/>
        </w:rPr>
        <w:t>回答时先给结论，再补证据和边界。若不确定，明确说明还需要哪类验证，不把软件测试等同于科研结论。</w:t>
      </w:r>
    </w:p>
    <w:p>
      <w:pPr>
        <w:keepNext/>
        <w:spacing w:before="140" w:after="100"/>
      </w:pPr>
      <w:r>
        <w:rPr>
          <w:rFonts w:ascii="Microsoft YaHei" w:hAnsi="Microsoft YaHei" w:eastAsia="Microsoft YaHei"/>
          <w:b/>
          <w:color w:val="632D75"/>
          <w:sz w:val="23"/>
        </w:rPr>
        <w:t>这个产品的 AI 到底做了什么</w:t>
      </w: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color w:val="1F2330"/>
          <w:sz w:val="21"/>
        </w:rPr>
        <w:t>AI 不是替代 sorting 或统计算法，而是读取结构化项目证据，帮助解释图表、检查当前条件、提出可审核分析计划、诊断失败，以及组织论文故事。图像和作图数据在发送前可预览，本地动作仍需要用户确认。</w:t>
      </w:r>
    </w:p>
    <w:p>
      <w:pPr>
        <w:keepNext/>
        <w:spacing w:before="140" w:after="100"/>
      </w:pPr>
      <w:r>
        <w:rPr>
          <w:rFonts w:ascii="Microsoft YaHei" w:hAnsi="Microsoft YaHei" w:eastAsia="Microsoft YaHei"/>
          <w:b/>
          <w:color w:val="632D75"/>
          <w:sz w:val="23"/>
        </w:rPr>
        <w:t>如果没有登录 DeepSeek Harness 还能使用吗</w:t>
      </w: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color w:val="1F2330"/>
          <w:sz w:val="21"/>
        </w:rPr>
        <w:t>App 本身的导入、sorting、人工复核、统计、解码和作图是本地功能，不依赖 AI 登录。AI 对话需要用户配置的可用服务；没有 Harness 会话时，可切换到 OpenAI Responses 或兼容接口，否则当地分析仍可正常使用。</w:t>
      </w:r>
    </w:p>
    <w:p>
      <w:pPr>
        <w:keepNext/>
        <w:spacing w:before="140" w:after="100"/>
      </w:pPr>
      <w:r>
        <w:rPr>
          <w:rFonts w:ascii="Microsoft YaHei" w:hAnsi="Microsoft YaHei" w:eastAsia="Microsoft YaHei"/>
          <w:b/>
          <w:color w:val="632D75"/>
          <w:sz w:val="23"/>
        </w:rPr>
        <w:t>人工 Unit 复核为什么必要</w:t>
      </w: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color w:val="1F2330"/>
          <w:sz w:val="21"/>
        </w:rPr>
        <w:t>自动质量指标可以筛选，但无法单独证明生物学单元。研究者还需要结合波形、不应期与 ACG、振幅随时间变化、稳定性、通道或空间分布以及重复模板风险做综合判断。</w:t>
      </w:r>
    </w:p>
    <w:p>
      <w:pPr>
        <w:keepNext/>
        <w:spacing w:before="140" w:after="100"/>
      </w:pPr>
      <w:r>
        <w:rPr>
          <w:rFonts w:ascii="Microsoft YaHei" w:hAnsi="Microsoft YaHei" w:eastAsia="Microsoft YaHei"/>
          <w:b/>
          <w:color w:val="632D75"/>
          <w:sz w:val="23"/>
        </w:rPr>
        <w:t>为什么不直接用 NeuroExplorer</w:t>
      </w: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color w:val="1F2330"/>
          <w:sz w:val="21"/>
        </w:rPr>
        <w:t>NeuroExplorer 在格式支持、经典分析和交互图形上非常成熟。NeuroEphys AI 的定位是互补：关注原始数据、多 sorter、人工复核、行为事件、多 Session、AI 和论文证据的统一流程与追溯。</w:t>
      </w:r>
    </w:p>
    <w:p>
      <w:pPr>
        <w:keepNext/>
        <w:spacing w:before="140" w:after="100"/>
      </w:pPr>
      <w:r>
        <w:rPr>
          <w:rFonts w:ascii="Microsoft YaHei" w:hAnsi="Microsoft YaHei" w:eastAsia="Microsoft YaHei"/>
          <w:b/>
          <w:color w:val="632D75"/>
          <w:sz w:val="23"/>
        </w:rPr>
        <w:t>如何防止 AI 胡说或自动改数据</w:t>
      </w: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color w:val="1F2330"/>
          <w:sz w:val="21"/>
        </w:rPr>
        <w:t>AI 先读结构化项目摘要和用户预览的附件，回答要求区分已知证据、推断和下一步。AI 可提出计划，但本地分析需用户确认；原始数据保持只读，项目保留参数、日志、人工决定和来源。</w:t>
      </w:r>
    </w:p>
    <w:p>
      <w:pPr>
        <w:keepNext/>
        <w:spacing w:before="140" w:after="100"/>
      </w:pPr>
      <w:r>
        <w:rPr>
          <w:rFonts w:ascii="Microsoft YaHei" w:hAnsi="Microsoft YaHei" w:eastAsia="Microsoft YaHei"/>
          <w:b/>
          <w:color w:val="632D75"/>
          <w:sz w:val="23"/>
        </w:rPr>
        <w:t>经过人工复核后，旧图会不会仍然被使用</w:t>
      </w: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color w:val="1F2330"/>
          <w:sz w:val="21"/>
        </w:rPr>
        <w:t>不会静默混用。Unit 标签或 spike 编辑变化后，下游结果会被标记为过期。用户需要重新应用复核集合并重算相关步骤，新图保存新的 cohort revision 和 provenance。</w:t>
      </w:r>
    </w:p>
    <w:p>
      <w:pPr>
        <w:keepNext/>
        <w:spacing w:before="140" w:after="100"/>
      </w:pPr>
      <w:r>
        <w:rPr>
          <w:rFonts w:ascii="Microsoft YaHei" w:hAnsi="Microsoft YaHei" w:eastAsia="Microsoft YaHei"/>
          <w:b/>
          <w:color w:val="632D75"/>
          <w:sz w:val="23"/>
        </w:rPr>
        <w:t>是否已经在真实数据上验证</w:t>
      </w: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color w:val="1F2330"/>
          <w:sz w:val="21"/>
        </w:rPr>
        <w:t>产品已对 Open Ephys 和行为时间文本建立导入、同步和追溯链路，但路演中展示的定量指标来自本地教学模拟，不把模拟结果冒充为真实生物学发现。真实数据的结论仍需要完成同步质量、Unit 质控和统计设计的独立核验。</w:t>
      </w:r>
    </w:p>
    <w:p>
      <w:pPr>
        <w:keepNext/>
        <w:spacing w:before="140" w:after="100"/>
      </w:pPr>
      <w:r>
        <w:rPr>
          <w:rFonts w:ascii="Microsoft YaHei" w:hAnsi="Microsoft YaHei" w:eastAsia="Microsoft YaHei"/>
          <w:b/>
          <w:color w:val="632D75"/>
          <w:sz w:val="23"/>
        </w:rPr>
        <w:t>为什么 Full 版很大</w:t>
      </w: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color w:val="1F2330"/>
          <w:sz w:val="21"/>
        </w:rPr>
        <w:t>Full 版离线携带 GPU、CUDA、PyTorch 和 Kilosort 等可选组件，不需要现场临时下载数 GB 依赖。普通 CPU 电脑可以选择标准安装版；需要完整离线 sorting 时选择 Full 自选安装版。</w:t>
      </w:r>
    </w:p>
    <w:p>
      <w:pPr>
        <w:keepNext/>
        <w:spacing w:before="140" w:after="100"/>
      </w:pPr>
      <w:r>
        <w:rPr>
          <w:rFonts w:ascii="Microsoft YaHei" w:hAnsi="Microsoft YaHei" w:eastAsia="Microsoft YaHei"/>
          <w:b/>
          <w:color w:val="632D75"/>
          <w:sz w:val="23"/>
        </w:rPr>
        <w:t>开源项目如何保证可复现</w:t>
      </w: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color w:val="1F2330"/>
          <w:sz w:val="21"/>
        </w:rPr>
        <w:t>代码、中英文教程、参数说明、发布记录和测试都保存在 GitHub。项目层保留原始来源索引、软件版本、参数、人工决定、作图数据和导出哈希，使论文图能够追回分析输入。</w:t>
      </w:r>
    </w:p>
    <w:p>
      <w:pPr>
        <w:keepNext/>
        <w:spacing w:before="140" w:after="100"/>
      </w:pPr>
      <w:r>
        <w:rPr>
          <w:rFonts w:ascii="Microsoft YaHei" w:hAnsi="Microsoft YaHei" w:eastAsia="Microsoft YaHei"/>
          <w:b/>
          <w:color w:val="632D75"/>
          <w:sz w:val="23"/>
        </w:rPr>
        <w:t>产品当前最需要继续验证的是什么</w:t>
      </w: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color w:val="1F2330"/>
          <w:sz w:val="21"/>
        </w:rPr>
        <w:t>需要继续扩大不同采集系统、电极结构和行为任务的真实数据验证，并用专家人工标注评估 Unit 编辑、同步质量和解码留出策略。这些是科研有效性的持续工作，不会被软件测试数量所替代。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5F6576"/>
        <w:sz w:val="16"/>
      </w:rPr>
      <w:t>Competition rehearsal copy  ·  8-minute target</w:t>
    </w:r>
    <w:r>
      <w:t xml:space="preserve"> 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 w:val="0"/>
        <w:color w:val="5F6576"/>
        <w:sz w:val="16"/>
      </w:rPr>
      <w:t>NeuroEphys AI  |  Final Roadshow Script  |  v1.4.0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F23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NeuroEphys AI Final Roadshow Speaker Script v1.4.0</dc:title>
  <dc:subject>8-minute competition roadshow narration, demo route, and judge Q&amp;A</dc:subject>
  <dc:creator>NeuroEphys AI project team</dc:creator>
  <cp:keywords>NeuroEphys AI, electrophysiology, roadshow, speaker script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